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1"/>
        <w:tblW w:w="9906.0" w:type="dxa"/>
        <w:jc w:val="left"/>
        <w:tblLayout w:type="fixed"/>
        <w:tblLook w:val="0400"/>
      </w:tblPr>
      <w:tblGrid>
        <w:gridCol w:w="3695"/>
        <w:gridCol w:w="6211"/>
        <w:tblGridChange w:id="0">
          <w:tblGrid>
            <w:gridCol w:w="3695"/>
            <w:gridCol w:w="6211"/>
          </w:tblGrid>
        </w:tblGridChange>
      </w:tblGrid>
      <w:tr>
        <w:trPr>
          <w:cantSplit w:val="0"/>
          <w:trHeight w:val="2391" w:hRule="atLeast"/>
          <w:tblHeader w:val="0"/>
        </w:trPr>
        <w:tc>
          <w:tcPr>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02">
            <w:pPr>
              <w:spacing w:after="0" w:line="240" w:lineRule="auto"/>
              <w:ind w:left="-115" w:right="-13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981809" cy="1905586"/>
                  <wp:effectExtent b="0" l="0" r="0" t="0"/>
                  <wp:docPr descr="Logo for Texas Governor's Committee on People with Disabillities" id="1" name="image1.jpg"/>
                  <a:graphic>
                    <a:graphicData uri="http://schemas.openxmlformats.org/drawingml/2006/picture">
                      <pic:pic>
                        <pic:nvPicPr>
                          <pic:cNvPr descr="Logo for Texas Governor's Committee on People with Disabillities" id="0" name="image1.jpg"/>
                          <pic:cNvPicPr preferRelativeResize="0"/>
                        </pic:nvPicPr>
                        <pic:blipFill>
                          <a:blip r:embed="rId8"/>
                          <a:srcRect b="0" l="0" r="0" t="0"/>
                          <a:stretch>
                            <a:fillRect/>
                          </a:stretch>
                        </pic:blipFill>
                        <pic:spPr>
                          <a:xfrm>
                            <a:off x="0" y="0"/>
                            <a:ext cx="1981809" cy="1905586"/>
                          </a:xfrm>
                          <a:prstGeom prst="rect"/>
                          <a:ln/>
                        </pic:spPr>
                      </pic:pic>
                    </a:graphicData>
                  </a:graphic>
                </wp:inline>
              </w:drawing>
            </w:r>
            <w:r w:rsidDel="00000000" w:rsidR="00000000" w:rsidRPr="00000000">
              <w:rPr>
                <w:rtl w:val="0"/>
              </w:rPr>
            </w:r>
          </w:p>
        </w:tc>
        <w:tc>
          <w:tcPr>
            <w:tcBorders>
              <w:top w:color="000000" w:space="0" w:sz="12" w:val="single"/>
              <w:left w:color="000000" w:space="0" w:sz="12" w:val="single"/>
              <w:bottom w:color="000000" w:space="0" w:sz="6"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03">
            <w:pPr>
              <w:spacing w:after="360" w:line="240" w:lineRule="auto"/>
              <w:ind w:left="216" w:right="101" w:firstLine="0"/>
              <w:rPr>
                <w:rFonts w:ascii="Times New Roman" w:cs="Times New Roman" w:eastAsia="Times New Roman" w:hAnsi="Times New Roman"/>
                <w:b w:val="1"/>
                <w:bCs w:val="1"/>
                <w:color w:val="003399"/>
                <w:sz w:val="48"/>
                <w:szCs w:val="48"/>
              </w:rPr>
            </w:pPr>
            <w:r w:rsidDel="00000000" w:rsidR="00000000" w:rsidRPr="00000000">
              <w:rPr>
                <w:rFonts w:ascii="Verdana" w:cs="Verdana" w:eastAsia="Verdana" w:hAnsi="Verdana"/>
                <w:b w:val="1"/>
                <w:bCs w:val="1"/>
                <w:color w:val="003399"/>
                <w:sz w:val="46"/>
                <w:szCs w:val="46"/>
                <w:rtl w:val="0"/>
              </w:rPr>
              <w:t xml:space="preserve">Governor’s Committee on People with Disabilities (GCPD)</w:t>
            </w:r>
            <w:r w:rsidDel="00000000" w:rsidR="00000000" w:rsidRPr="00000000">
              <w:rPr>
                <w:rtl w:val="0"/>
              </w:rPr>
            </w:r>
          </w:p>
          <w:p w:rsidR="00000000" w:rsidDel="00000000" w:rsidP="00000000" w:rsidRDefault="00000000" w:rsidRPr="00000000" w14:paraId="00000004">
            <w:pPr>
              <w:spacing w:after="0" w:before="120" w:line="240" w:lineRule="auto"/>
              <w:ind w:left="237" w:firstLine="0"/>
              <w:rPr>
                <w:rFonts w:ascii="Times New Roman" w:cs="Times New Roman" w:eastAsia="Times New Roman" w:hAnsi="Times New Roman"/>
                <w:b w:val="1"/>
                <w:bCs w:val="1"/>
                <w:sz w:val="32"/>
                <w:szCs w:val="32"/>
              </w:rPr>
            </w:pPr>
            <w:r w:rsidDel="00000000" w:rsidR="00000000" w:rsidRPr="00000000">
              <w:rPr>
                <w:rFonts w:ascii="Verdana" w:cs="Verdana" w:eastAsia="Verdana" w:hAnsi="Verdana"/>
                <w:b w:val="1"/>
                <w:bCs w:val="1"/>
                <w:sz w:val="32"/>
                <w:szCs w:val="32"/>
                <w:rtl w:val="0"/>
              </w:rPr>
              <w:t xml:space="preserve">Policy Development Proposal</w:t>
            </w:r>
            <w:r w:rsidDel="00000000" w:rsidR="00000000" w:rsidRPr="00000000">
              <w:rPr>
                <w:rtl w:val="0"/>
              </w:rPr>
            </w:r>
          </w:p>
        </w:tc>
      </w:tr>
      <w:tr>
        <w:trPr>
          <w:cantSplit w:val="0"/>
          <w:trHeight w:val="624"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05">
            <w:pPr>
              <w:spacing w:after="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Describe the proposed policy or legislative solution: </w:t>
            </w:r>
          </w:p>
          <w:p w:rsidR="00000000" w:rsidDel="00000000" w:rsidP="00000000" w:rsidRDefault="00000000" w:rsidRPr="00000000" w14:paraId="00000006">
            <w:pPr>
              <w:spacing w:after="0" w:line="24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To better serve Texans with disabilities in need of home modifications, and allow them to live independently in the community of their choice, we are proposing additional funding for the Amy Young Barrier Removal (AYBR) Program. This is an existing program funded by the Housing Trust Fund that provides grants to administrators across Texas for home modifications. </w:t>
            </w:r>
          </w:p>
          <w:p w:rsidR="00000000" w:rsidDel="00000000" w:rsidP="00000000" w:rsidRDefault="00000000" w:rsidRPr="00000000" w14:paraId="00000007">
            <w:pPr>
              <w:spacing w:after="0" w:lin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 AYBR Program funds home modifications that increase accessibility for homeowners, tenants, and members of their households who have a disability, in addition to correcting hazardous and unsafe housing conditions, as approved by the Texas Department of Housing and Community Affairs (TDHCA). This program provides grants of up to $22,500 to qualified applicants across the state to provide whatever modification is needed to make their home fit their needs. The AYBR Program is unique in that it is a statewide program that is flexible, allowing administrators to use these grants creatively to best serve these households. The AYBR Program does not limit the type of modification and, unlike some small grant programs that currently exist, does not have any age restrictions or geographical requirements. Beyond disability, the primary qualifier is income: the AYBR Program serves households who make at or below 80% area median income (AMI).</w:t>
            </w:r>
          </w:p>
          <w:p w:rsidR="00000000" w:rsidDel="00000000" w:rsidP="00000000" w:rsidRDefault="00000000" w:rsidRPr="00000000" w14:paraId="00000009">
            <w:pPr>
              <w:spacing w:after="0" w:lin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0A">
            <w:pPr>
              <w:spacing w:after="0" w:line="24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By assisting people with disabilities with home modifications, Texas is preventing unnecessary institutionalizations, something that is both costly and limits an individual’s choice to reside in the housing of their choice.   </w:t>
            </w:r>
          </w:p>
        </w:tc>
      </w:tr>
      <w:tr>
        <w:trPr>
          <w:cantSplit w:val="0"/>
          <w:trHeight w:val="340"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0C">
            <w:pPr>
              <w:spacing w:after="120" w:line="240" w:lineRule="auto"/>
              <w:rPr>
                <w:rFonts w:ascii="Verdana" w:cs="Verdana" w:eastAsia="Verdana" w:hAnsi="Verdana"/>
                <w:color w:val="000000"/>
                <w:sz w:val="24"/>
                <w:szCs w:val="24"/>
              </w:rPr>
            </w:pPr>
            <w:r w:rsidDel="00000000" w:rsidR="00000000" w:rsidRPr="00000000">
              <w:rPr>
                <w:color w:val="000000"/>
                <w:sz w:val="24"/>
                <w:szCs w:val="24"/>
                <w:rtl w:val="0"/>
              </w:rPr>
              <w:t xml:space="preserve">Issue Description: </w:t>
            </w:r>
            <w:r w:rsidDel="00000000" w:rsidR="00000000" w:rsidRPr="00000000">
              <w:rPr>
                <w:rtl w:val="0"/>
              </w:rPr>
            </w:r>
          </w:p>
          <w:p w:rsidR="00000000" w:rsidDel="00000000" w:rsidP="00000000" w:rsidRDefault="00000000" w:rsidRPr="00000000" w14:paraId="0000000D">
            <w:pPr>
              <w:shd w:fill="ffffff" w:val="clear"/>
              <w:spacing w:after="120" w:line="240" w:lineRule="auto"/>
              <w:rPr>
                <w:rFonts w:ascii="Verdana" w:cs="Verdana" w:eastAsia="Verdana" w:hAnsi="Verdana"/>
                <w:color w:val="000000"/>
                <w:sz w:val="24"/>
                <w:szCs w:val="24"/>
              </w:rPr>
            </w:pPr>
            <w:r w:rsidDel="00000000" w:rsidR="00000000" w:rsidRPr="00000000">
              <w:rPr>
                <w:rFonts w:ascii="Verdana" w:cs="Verdana" w:eastAsia="Verdana" w:hAnsi="Verdana"/>
                <w:color w:val="000000"/>
                <w:sz w:val="24"/>
                <w:szCs w:val="24"/>
                <w:rtl w:val="0"/>
              </w:rPr>
              <w:t xml:space="preserve">Why are you proposing this? What problem does this proposal solve? </w:t>
            </w:r>
          </w:p>
          <w:p w:rsidR="00000000" w:rsidDel="00000000" w:rsidP="00000000" w:rsidRDefault="00000000" w:rsidRPr="00000000" w14:paraId="0000000E">
            <w:pPr>
              <w:shd w:fill="ffffff" w:val="clear"/>
              <w:spacing w:after="0" w:line="240" w:lineRule="auto"/>
              <w:rPr>
                <w:rFonts w:ascii="Verdana" w:cs="Verdana" w:eastAsia="Verdana" w:hAnsi="Verdana"/>
                <w:color w:val="000000"/>
                <w:sz w:val="24"/>
                <w:szCs w:val="24"/>
              </w:rPr>
            </w:pPr>
            <w:r w:rsidDel="00000000" w:rsidR="00000000" w:rsidRPr="00000000">
              <w:rPr>
                <w:rFonts w:ascii="Verdana" w:cs="Verdana" w:eastAsia="Verdana" w:hAnsi="Verdana"/>
                <w:sz w:val="24"/>
                <w:szCs w:val="24"/>
                <w:shd w:fill="e7e6e6" w:val="clear"/>
                <w:rtl w:val="0"/>
              </w:rPr>
              <w:t xml:space="preserve">Many low income Texans face challenges to staying in their homes if they become disabled. For example, if a person becomes mobility-impaired but their home does not have an accessible entrance, they run the risk of living in unsafe conditions with the possibility of being forced to move. The same can be said for a person who must move an aging parent into the home to care for them, or someone with an auditory disability </w:t>
            </w:r>
            <w:r w:rsidDel="00000000" w:rsidR="00000000" w:rsidRPr="00000000">
              <w:rPr>
                <w:rFonts w:ascii="Verdana" w:cs="Verdana" w:eastAsia="Verdana" w:hAnsi="Verdana"/>
                <w:color w:val="000000"/>
                <w:sz w:val="24"/>
                <w:szCs w:val="24"/>
                <w:rtl w:val="0"/>
              </w:rPr>
              <w:t xml:space="preserve">who does not have appropriate fire alarms. Without a safe place to live, people with disabilities can easily fall into homelessness or become institutionalized. The Amy Young Barrier Removal (AYBR) Program has proven to be an effective tool in keeping Texans with disabilities housed. All appropriated funds are spent annually, and many administrators have waiting lists for home modification projects. However, despite the successes of this program, it has been level funded since it was created in 2011. There are multiple reasons why this program should be expanded.</w:t>
            </w:r>
          </w:p>
          <w:p w:rsidR="00000000" w:rsidDel="00000000" w:rsidP="00000000" w:rsidRDefault="00000000" w:rsidRPr="00000000" w14:paraId="0000000F">
            <w:pPr>
              <w:spacing w:after="0" w:line="240" w:lineRule="auto"/>
              <w:rPr>
                <w:rFonts w:ascii="Verdana" w:cs="Verdana" w:eastAsia="Verdana" w:hAnsi="Verdana"/>
                <w:color w:val="000000"/>
                <w:sz w:val="24"/>
                <w:szCs w:val="24"/>
              </w:rPr>
            </w:pPr>
            <w:r w:rsidDel="00000000" w:rsidR="00000000" w:rsidRPr="00000000">
              <w:rPr>
                <w:rtl w:val="0"/>
              </w:rPr>
            </w:r>
          </w:p>
          <w:p w:rsidR="00000000" w:rsidDel="00000000" w:rsidP="00000000" w:rsidRDefault="00000000" w:rsidRPr="00000000" w14:paraId="00000010">
            <w:pPr>
              <w:spacing w:after="0" w:line="240" w:lineRule="auto"/>
              <w:rPr>
                <w:rFonts w:ascii="Verdana" w:cs="Verdana" w:eastAsia="Verdana" w:hAnsi="Verdana"/>
                <w:color w:val="000000"/>
                <w:sz w:val="24"/>
                <w:szCs w:val="24"/>
              </w:rPr>
            </w:pPr>
            <w:r w:rsidDel="00000000" w:rsidR="00000000" w:rsidRPr="00000000">
              <w:rPr>
                <w:rFonts w:ascii="Verdana" w:cs="Verdana" w:eastAsia="Verdana" w:hAnsi="Verdana"/>
                <w:color w:val="000000"/>
                <w:sz w:val="24"/>
                <w:szCs w:val="24"/>
                <w:rtl w:val="0"/>
              </w:rPr>
              <w:t xml:space="preserve">First, the eligible population who qualifies for services through the AYBR Program is exponentially larger than the number of projects that can be completed at current funding levels. Based on data analysis, a reasonable, conservative estimate is that about 1.1 million Texans with disabilities, or 1.1 million two-person households with disabled members, are likely income-eligible and living in homes where barrier removal could be relevant. </w:t>
            </w:r>
          </w:p>
          <w:p w:rsidR="00000000" w:rsidDel="00000000" w:rsidP="00000000" w:rsidRDefault="00000000" w:rsidRPr="00000000" w14:paraId="00000011">
            <w:pPr>
              <w:spacing w:after="0" w:line="240" w:lineRule="auto"/>
              <w:rPr>
                <w:rFonts w:ascii="Verdana" w:cs="Verdana" w:eastAsia="Verdana" w:hAnsi="Verdana"/>
                <w:color w:val="000000"/>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This number was extrapolated using:  </w:t>
            </w:r>
          </w:p>
          <w:p w:rsidR="00000000" w:rsidDel="00000000" w:rsidP="00000000" w:rsidRDefault="00000000" w:rsidRPr="00000000" w14:paraId="000000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Disability prevalence and housing occupancy characteristics (American Community Survey or ACS)</w:t>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superscript"/>
              </w:rPr>
              <w:footnoteReference w:customMarkFollows="0" w:id="0"/>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Housing structure type for people with disabilities (Annual Disability Statistics Compendium)</w:t>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superscript"/>
              </w:rPr>
              <w:footnoteReference w:customMarkFollows="0" w:id="1"/>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Statewide Area Median Income (AMI) distribution (LICP)</w:t>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superscript"/>
              </w:rPr>
              <w:footnoteReference w:customMarkFollows="0" w:id="2"/>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Because Texas does not publish disability-specific homeownership or income data using AMI, this analysis uses AMI to estimate eligibility for the AYBR Program and FPL-based data to demonstrate economic hardship among Texans with disabilities. These measures are not interchangeable, but together they provide a conservative and transparent estimate of need.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Over 4 million Texans have a disability, and an estimated 2.7 million</w:t>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superscript"/>
              </w:rPr>
              <w:footnoteReference w:customMarkFollows="0" w:id="3"/>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 live in single-family houses where accessibility modifications are more commonly needed. The income-eligible group is massive. Applying the statewide AMI distribution, roughly 1.1 million Texans with disabilities are likely both: </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living in houses (proxy for homeownership), and </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at or below 80% AMI, the threshold used by the AYBR Program.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According to ACS occupancy statistics, the average household size in Texas, regardless of things like ownership status and type of unit, skews small.</w:t>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superscript"/>
              </w:rPr>
              <w:footnoteReference w:customMarkFollows="0" w:id="4"/>
            </w: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 With that in mind we believe it is fair to state that 1.1 million households could be eligible for the AYBR Program since a household needs only one occupant with a disability to qualify for home modifications. Therefore, in this rather basic scenario, the program’s current scale of 67 projects/year is reaching only 0.006% of the estimated eligible population of 1.1 million households.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spacing w:after="120" w:line="240" w:lineRule="auto"/>
              <w:rPr>
                <w:rFonts w:ascii="Verdana" w:cs="Verdana" w:eastAsia="Verdana" w:hAnsi="Verdana"/>
                <w:color w:val="000000"/>
                <w:sz w:val="24"/>
                <w:szCs w:val="24"/>
              </w:rPr>
            </w:pPr>
            <w:r w:rsidDel="00000000" w:rsidR="00000000" w:rsidRPr="00000000">
              <w:rPr>
                <w:rFonts w:ascii="Verdana" w:cs="Verdana" w:eastAsia="Verdana" w:hAnsi="Verdana"/>
                <w:color w:val="000000"/>
                <w:sz w:val="24"/>
                <w:szCs w:val="24"/>
                <w:rtl w:val="0"/>
              </w:rPr>
              <w:t xml:space="preserve">What is more, we know that administrators of the AYBR Program have the capacity to complete more projects. In April 2026 TDHCA surveyed administrators of the AYBR Program. TDHCA received responses from 14 of the state’s 25 administrators across the state, with survey questions measuring a variety of programmatic components including questions related to modification type and satisfaction with the program. Questions also measured capacity by asking respondents how many projects they currently complete, and how many they believe they could complete if funding wasn’t a concern. Information was gathered as a range from fewer than 5 projects to 25 or more: for simplicity’s sake, we created a cap of 30 projects. The following calculations were done using the midpoint of this data.</w:t>
            </w:r>
          </w:p>
          <w:p w:rsidR="00000000" w:rsidDel="00000000" w:rsidP="00000000" w:rsidRDefault="00000000" w:rsidRPr="00000000" w14:paraId="0000001F">
            <w:pPr>
              <w:spacing w:after="120" w:line="240" w:lineRule="auto"/>
              <w:rPr>
                <w:rFonts w:ascii="Verdana" w:cs="Verdana" w:eastAsia="Verdana" w:hAnsi="Verdana"/>
                <w:color w:val="000000"/>
                <w:sz w:val="24"/>
                <w:szCs w:val="24"/>
              </w:rPr>
            </w:pPr>
            <w:r w:rsidDel="00000000" w:rsidR="00000000" w:rsidRPr="00000000">
              <w:rPr>
                <w:rFonts w:ascii="Verdana" w:cs="Verdana" w:eastAsia="Verdana" w:hAnsi="Verdana"/>
                <w:color w:val="000000"/>
                <w:sz w:val="24"/>
                <w:szCs w:val="24"/>
                <w:rtl w:val="0"/>
              </w:rPr>
              <w:t xml:space="preserve">The 14 administrators who responded currently complete a total of 95 projects per year (note that some administrators are able to secure outside funding to support AYBR Program projects, and the number of projects the AYBR Program is able to fund can fluctuate for a number of reasons). With unlimited funding, the surveyed administrators stated they could complete a total of 272 projects per year. This indicates an unmet need of 177 projects per year. It is important to note that this is likely a conservative estimate: the maximum number of projects an administrator could select in the survey is 25 or more, so we are unable to identify a true maximum number of projects. There is a chance that some of the larger AYBR Program administrators have the capacity to complete more.</w:t>
            </w:r>
          </w:p>
        </w:tc>
      </w:tr>
      <w:tr>
        <w:trPr>
          <w:cantSplit w:val="0"/>
          <w:trHeight w:val="340"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21">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Explain how this is a common/frequent issue:</w:t>
            </w:r>
          </w:p>
          <w:p w:rsidR="00000000" w:rsidDel="00000000" w:rsidP="00000000" w:rsidRDefault="00000000" w:rsidRPr="00000000" w14:paraId="00000022">
            <w:pPr>
              <w:spacing w:after="120" w:line="240" w:lineRule="auto"/>
              <w:rPr>
                <w:rFonts w:ascii="Verdana" w:cs="Verdana" w:eastAsia="Verdana" w:hAnsi="Verdana"/>
                <w:shd w:fill="e7e6e6" w:val="clear"/>
              </w:rPr>
            </w:pPr>
            <w:r w:rsidDel="00000000" w:rsidR="00000000" w:rsidRPr="00000000">
              <w:rPr>
                <w:rFonts w:ascii="Verdana" w:cs="Verdana" w:eastAsia="Verdana" w:hAnsi="Verdana"/>
                <w:shd w:fill="e7e6e6" w:val="clear"/>
                <w:rtl w:val="0"/>
              </w:rPr>
              <w:t xml:space="preserve">Is it a one-off problem or something systemic? If known, provide evidence. </w:t>
            </w:r>
          </w:p>
          <w:p w:rsidR="00000000" w:rsidDel="00000000" w:rsidP="00000000" w:rsidRDefault="00000000" w:rsidRPr="00000000" w14:paraId="00000023">
            <w:pPr>
              <w:shd w:fill="ffffff" w:val="clear"/>
              <w:spacing w:after="120" w:line="240" w:lineRule="auto"/>
              <w:rPr>
                <w:rFonts w:ascii="Verdana" w:cs="Verdana" w:eastAsia="Verdana" w:hAnsi="Verdana"/>
                <w:sz w:val="24"/>
                <w:szCs w:val="24"/>
                <w:shd w:fill="e7e6e6" w:val="clear"/>
              </w:rPr>
            </w:pPr>
            <w:r w:rsidDel="00000000" w:rsidR="00000000" w:rsidRPr="00000000">
              <w:rPr>
                <w:rFonts w:ascii="Verdana" w:cs="Verdana" w:eastAsia="Verdana" w:hAnsi="Verdana"/>
                <w:sz w:val="24"/>
                <w:szCs w:val="24"/>
                <w:shd w:fill="e7e6e6" w:val="clear"/>
                <w:rtl w:val="0"/>
              </w:rPr>
              <w:t xml:space="preserve">According to the CDC, 1 in 4 adults in the US has a disability, and 12% of people with disabilities have a mobility disability.</w:t>
            </w:r>
            <w:r w:rsidDel="00000000" w:rsidR="00000000" w:rsidRPr="00000000">
              <w:rPr>
                <w:rFonts w:ascii="Verdana" w:cs="Verdana" w:eastAsia="Verdana" w:hAnsi="Verdana"/>
                <w:sz w:val="24"/>
                <w:szCs w:val="24"/>
                <w:shd w:fill="e7e6e6" w:val="clear"/>
                <w:vertAlign w:val="superscript"/>
              </w:rPr>
              <w:footnoteReference w:customMarkFollows="0" w:id="5"/>
            </w:r>
            <w:r w:rsidDel="00000000" w:rsidR="00000000" w:rsidRPr="00000000">
              <w:rPr>
                <w:rFonts w:ascii="Verdana" w:cs="Verdana" w:eastAsia="Verdana" w:hAnsi="Verdana"/>
                <w:sz w:val="24"/>
                <w:szCs w:val="24"/>
                <w:shd w:fill="e7e6e6" w:val="clear"/>
                <w:rtl w:val="0"/>
              </w:rPr>
              <w:t xml:space="preserve"> However, less than 4% of housing in the US is accessible to people with moderate mobility disabilities, and only 0.15% are wheelchair accessible.</w:t>
            </w:r>
            <w:r w:rsidDel="00000000" w:rsidR="00000000" w:rsidRPr="00000000">
              <w:rPr>
                <w:rFonts w:ascii="Verdana" w:cs="Verdana" w:eastAsia="Verdana" w:hAnsi="Verdana"/>
                <w:sz w:val="24"/>
                <w:szCs w:val="24"/>
                <w:shd w:fill="e7e6e6" w:val="clear"/>
                <w:vertAlign w:val="superscript"/>
              </w:rPr>
              <w:footnoteReference w:customMarkFollows="0" w:id="6"/>
            </w:r>
            <w:r w:rsidDel="00000000" w:rsidR="00000000" w:rsidRPr="00000000">
              <w:rPr>
                <w:rFonts w:ascii="Verdana" w:cs="Verdana" w:eastAsia="Verdana" w:hAnsi="Verdana"/>
                <w:sz w:val="24"/>
                <w:szCs w:val="24"/>
                <w:shd w:fill="e7e6e6" w:val="clear"/>
                <w:rtl w:val="0"/>
              </w:rPr>
              <w:t xml:space="preserve"> </w:t>
            </w:r>
          </w:p>
          <w:p w:rsidR="00000000" w:rsidDel="00000000" w:rsidP="00000000" w:rsidRDefault="00000000" w:rsidRPr="00000000" w14:paraId="00000024">
            <w:pPr>
              <w:spacing w:after="120" w:line="240" w:lineRule="auto"/>
              <w:rPr>
                <w:rFonts w:ascii="Verdana" w:cs="Verdana" w:eastAsia="Verdana" w:hAnsi="Verdana"/>
                <w:shd w:fill="e7e6e6" w:val="clear"/>
              </w:rPr>
            </w:pPr>
            <w:r w:rsidDel="00000000" w:rsidR="00000000" w:rsidRPr="00000000">
              <w:rPr>
                <w:rFonts w:ascii="Verdana" w:cs="Verdana" w:eastAsia="Verdana" w:hAnsi="Verdana"/>
                <w:sz w:val="24"/>
                <w:szCs w:val="24"/>
                <w:shd w:fill="e7e6e6" w:val="clear"/>
                <w:rtl w:val="0"/>
              </w:rPr>
              <w:t xml:space="preserve">This dearth of mobility-accessible housing will be felt harshly in Texas moving forward as our population grows. </w:t>
            </w:r>
            <w:r w:rsidDel="00000000" w:rsidR="00000000" w:rsidRPr="00000000">
              <w:rPr>
                <w:rFonts w:ascii="Verdana" w:cs="Verdana" w:eastAsia="Verdana" w:hAnsi="Verdana"/>
                <w:sz w:val="24"/>
                <w:szCs w:val="24"/>
                <w:rtl w:val="0"/>
              </w:rPr>
              <w:t xml:space="preserve">At the same time, Texas’ population is aging. According to Texas2036, between now and 2060 the 65+ age group is projected to have the fastest rate of growth of all other population subsets, and will grow to nearly 9 million people.</w:t>
            </w:r>
            <w:r w:rsidDel="00000000" w:rsidR="00000000" w:rsidRPr="00000000">
              <w:rPr>
                <w:rFonts w:ascii="Verdana" w:cs="Verdana" w:eastAsia="Verdana" w:hAnsi="Verdana"/>
                <w:sz w:val="24"/>
                <w:szCs w:val="24"/>
                <w:vertAlign w:val="superscript"/>
              </w:rPr>
              <w:footnoteReference w:customMarkFollows="0" w:id="7"/>
            </w:r>
            <w:r w:rsidDel="00000000" w:rsidR="00000000" w:rsidRPr="00000000">
              <w:rPr>
                <w:rFonts w:ascii="Verdana" w:cs="Verdana" w:eastAsia="Verdana" w:hAnsi="Verdana"/>
                <w:sz w:val="24"/>
                <w:szCs w:val="24"/>
                <w:rtl w:val="0"/>
              </w:rPr>
              <w:t xml:space="preserve"> Without utilizing the resources we have to help people stay in their homes, and considering future population growth, Texas will be woefully behind in helping people with disabilities, including seniors, live in their community.</w:t>
            </w:r>
            <w:r w:rsidDel="00000000" w:rsidR="00000000" w:rsidRPr="00000000">
              <w:rPr>
                <w:rtl w:val="0"/>
              </w:rPr>
              <w:t xml:space="preserve"> </w:t>
            </w:r>
            <w:r w:rsidDel="00000000" w:rsidR="00000000" w:rsidRPr="00000000">
              <w:rPr>
                <w:rtl w:val="0"/>
              </w:rPr>
            </w:r>
          </w:p>
        </w:tc>
      </w:tr>
      <w:tr>
        <w:trPr>
          <w:cantSplit w:val="0"/>
          <w:trHeight w:val="1098"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26">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Legislative History:</w:t>
            </w:r>
          </w:p>
          <w:p w:rsidR="00000000" w:rsidDel="00000000" w:rsidP="00000000" w:rsidRDefault="00000000" w:rsidRPr="00000000" w14:paraId="00000027">
            <w:pPr>
              <w:spacing w:after="120" w:line="240" w:lineRule="auto"/>
              <w:rPr>
                <w:rFonts w:ascii="Verdana" w:cs="Verdana" w:eastAsia="Verdana" w:hAnsi="Verdana"/>
                <w:color w:val="000000"/>
                <w:shd w:fill="e7e6e6" w:val="clear"/>
              </w:rPr>
            </w:pPr>
            <w:r w:rsidDel="00000000" w:rsidR="00000000" w:rsidRPr="00000000">
              <w:rPr>
                <w:rFonts w:ascii="Verdana" w:cs="Verdana" w:eastAsia="Verdana" w:hAnsi="Verdana"/>
                <w:color w:val="000000"/>
                <w:shd w:fill="e7e6e6" w:val="clear"/>
                <w:rtl w:val="0"/>
              </w:rPr>
              <w:t xml:space="preserve">Were similar bills filed in the past- either in Texas or in other states? What prevented its success? Link to that legislation if possible. </w:t>
              <w:br w:type="textWrapping"/>
            </w:r>
            <w:r w:rsidDel="00000000" w:rsidR="00000000" w:rsidRPr="00000000">
              <w:rPr>
                <w:rFonts w:ascii="Verdana" w:cs="Verdana" w:eastAsia="Verdana" w:hAnsi="Verdana"/>
                <w:color w:val="000000"/>
                <w:rtl w:val="0"/>
              </w:rPr>
              <w:br w:type="textWrapping"/>
            </w:r>
            <w:r w:rsidDel="00000000" w:rsidR="00000000" w:rsidRPr="00000000">
              <w:rPr>
                <w:rFonts w:ascii="Verdana" w:cs="Verdana" w:eastAsia="Verdana" w:hAnsi="Verdana"/>
                <w:color w:val="000000"/>
                <w:sz w:val="24"/>
                <w:szCs w:val="24"/>
                <w:rtl w:val="0"/>
              </w:rPr>
              <w:t xml:space="preserve">The Amy Young Barrier Removal (AYBR) Program was created in 2011 through TDHCA rule as part of the Housing Trust Fund (HTF). The HTF is funded by state general revenue, making it one of the only state-funded sources of housing assistance. </w:t>
            </w:r>
            <w:r w:rsidDel="00000000" w:rsidR="00000000" w:rsidRPr="00000000">
              <w:rPr>
                <w:rtl w:val="0"/>
              </w:rPr>
            </w:r>
          </w:p>
        </w:tc>
      </w:tr>
      <w:tr>
        <w:trPr>
          <w:cantSplit w:val="0"/>
          <w:trHeight w:val="550"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29">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Explain the feasibility of this recommendation: </w:t>
            </w:r>
          </w:p>
          <w:p w:rsidR="00000000" w:rsidDel="00000000" w:rsidP="00000000" w:rsidRDefault="00000000" w:rsidRPr="00000000" w14:paraId="0000002A">
            <w:pPr>
              <w:spacing w:after="60" w:before="60" w:line="240" w:lineRule="auto"/>
              <w:rPr>
                <w:rFonts w:ascii="Verdana" w:cs="Verdana" w:eastAsia="Verdana" w:hAnsi="Verdana"/>
                <w:color w:val="000000"/>
                <w:shd w:fill="e7e6e6" w:val="clear"/>
              </w:rPr>
            </w:pPr>
            <w:r w:rsidDel="00000000" w:rsidR="00000000" w:rsidRPr="00000000">
              <w:rPr>
                <w:rFonts w:ascii="Verdana" w:cs="Verdana" w:eastAsia="Verdana" w:hAnsi="Verdana"/>
                <w:color w:val="000000"/>
                <w:shd w:fill="e7e6e6" w:val="clear"/>
                <w:rtl w:val="0"/>
              </w:rPr>
              <w:t xml:space="preserve">The most successful policy proposals are practical, specific, and able to be supported by many different stakeholders. What successes and difficulties do you anticipate encountering?</w:t>
            </w:r>
          </w:p>
          <w:p w:rsidR="00000000" w:rsidDel="00000000" w:rsidP="00000000" w:rsidRDefault="00000000" w:rsidRPr="00000000" w14:paraId="0000002B">
            <w:pPr>
              <w:spacing w:after="60" w:before="60" w:lin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2C">
            <w:pPr>
              <w:spacing w:after="60" w:before="60" w:line="24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One success is that the Amy Young Barrier Removal (AYBR) Program is not a new program, so no training or new FTEs are necessary for this particular proposal: all funds can go directly to new services and existing programmatic supports.</w:t>
            </w:r>
          </w:p>
          <w:p w:rsidR="00000000" w:rsidDel="00000000" w:rsidP="00000000" w:rsidRDefault="00000000" w:rsidRPr="00000000" w14:paraId="0000002D">
            <w:pPr>
              <w:spacing w:after="60" w:before="60" w:lin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2E">
            <w:pPr>
              <w:spacing w:after="60" w:before="60" w:line="24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Another success is the data available from the Texas Department of Housing and Community Affairs (TDHCA) survey of AYBR Program administrators. The data illustrates the current capacity and appetite for program expansion. This indicates that readiness to proceed will not be a primary concern should more funding become available. </w:t>
            </w:r>
          </w:p>
          <w:p w:rsidR="00000000" w:rsidDel="00000000" w:rsidP="00000000" w:rsidRDefault="00000000" w:rsidRPr="00000000" w14:paraId="0000002F">
            <w:pPr>
              <w:spacing w:after="60" w:before="60" w:lin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30">
            <w:pPr>
              <w:spacing w:after="60" w:before="60" w:line="240" w:lineRule="auto"/>
              <w:rPr>
                <w:rFonts w:ascii="Verdana" w:cs="Verdana" w:eastAsia="Verdana" w:hAnsi="Verdana"/>
                <w:color w:val="000000"/>
                <w:sz w:val="24"/>
                <w:szCs w:val="24"/>
                <w:shd w:fill="e7e6e6" w:val="clear"/>
              </w:rPr>
            </w:pPr>
            <w:r w:rsidDel="00000000" w:rsidR="00000000" w:rsidRPr="00000000">
              <w:rPr>
                <w:rFonts w:ascii="Verdana" w:cs="Verdana" w:eastAsia="Verdana" w:hAnsi="Verdana"/>
                <w:sz w:val="24"/>
                <w:szCs w:val="24"/>
                <w:rtl w:val="0"/>
              </w:rPr>
              <w:t xml:space="preserve">A difficulty that exists in achieving a higher amount of funding for the AYBR Program is that not all regions currently have program administrators. However, more funding may entice more organizations to participate since they will ideally be able to complete more projects quickly, successfully expanding the program.</w:t>
            </w:r>
            <w:r w:rsidDel="00000000" w:rsidR="00000000" w:rsidRPr="00000000">
              <w:rPr>
                <w:rtl w:val="0"/>
              </w:rPr>
            </w:r>
          </w:p>
          <w:p w:rsidR="00000000" w:rsidDel="00000000" w:rsidP="00000000" w:rsidRDefault="00000000" w:rsidRPr="00000000" w14:paraId="00000031">
            <w:pPr>
              <w:spacing w:after="60" w:before="60" w:line="240" w:lineRule="auto"/>
              <w:rPr>
                <w:rFonts w:ascii="Verdana" w:cs="Verdana" w:eastAsia="Verdana" w:hAnsi="Verdana"/>
              </w:rPr>
            </w:pPr>
            <w:r w:rsidDel="00000000" w:rsidR="00000000" w:rsidRPr="00000000">
              <w:rPr>
                <w:rtl w:val="0"/>
              </w:rPr>
            </w:r>
          </w:p>
        </w:tc>
      </w:tr>
      <w:tr>
        <w:trPr>
          <w:cantSplit w:val="0"/>
          <w:trHeight w:val="550"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33">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List any known cost factors (fiscal note). Show calculations.</w:t>
            </w:r>
          </w:p>
          <w:p w:rsidR="00000000" w:rsidDel="00000000" w:rsidP="00000000" w:rsidRDefault="00000000" w:rsidRPr="00000000" w14:paraId="00000034">
            <w:pPr>
              <w:spacing w:after="120" w:line="240" w:lineRule="auto"/>
              <w:rPr>
                <w:rFonts w:ascii="Verdana" w:cs="Verdana" w:eastAsia="Verdana" w:hAnsi="Verdana"/>
                <w:color w:val="000000"/>
                <w:shd w:fill="e7e6e6" w:val="clear"/>
              </w:rPr>
            </w:pPr>
            <w:r w:rsidDel="00000000" w:rsidR="00000000" w:rsidRPr="00000000">
              <w:rPr>
                <w:rFonts w:ascii="Verdana" w:cs="Verdana" w:eastAsia="Verdana" w:hAnsi="Verdana"/>
                <w:color w:val="000000"/>
                <w:shd w:fill="e7e6e6" w:val="clear"/>
                <w:rtl w:val="0"/>
              </w:rPr>
              <w:t xml:space="preserve">While this is not required, providing cost information can be helpful. </w:t>
            </w:r>
          </w:p>
          <w:p w:rsidR="00000000" w:rsidDel="00000000" w:rsidP="00000000" w:rsidRDefault="00000000" w:rsidRPr="00000000" w14:paraId="00000035">
            <w:pPr>
              <w:spacing w:after="0" w:line="240" w:lineRule="auto"/>
              <w:rPr>
                <w:rFonts w:ascii="Verdana" w:cs="Verdana" w:eastAsia="Verdana" w:hAnsi="Verdana"/>
                <w:sz w:val="24"/>
                <w:szCs w:val="24"/>
                <w:shd w:fill="e7e6e6" w:val="clear"/>
              </w:rPr>
            </w:pPr>
            <w:r w:rsidDel="00000000" w:rsidR="00000000" w:rsidRPr="00000000">
              <w:rPr>
                <w:rFonts w:ascii="Verdana" w:cs="Verdana" w:eastAsia="Verdana" w:hAnsi="Verdana"/>
                <w:sz w:val="24"/>
                <w:szCs w:val="24"/>
                <w:shd w:fill="e7e6e6" w:val="clear"/>
                <w:rtl w:val="0"/>
              </w:rPr>
              <w:t xml:space="preserve">The AYBR Program is funded at $1,727,974 annually, which serves 67 households per year, or 4 projects per region: it has never had a funding increase. Using midpoint data and the pool of eligible Texans, AYBR Program administrators would benefit from an additional $5 million per year, or $10 million over the biennium. </w:t>
            </w:r>
          </w:p>
          <w:p w:rsidR="00000000" w:rsidDel="00000000" w:rsidP="00000000" w:rsidRDefault="00000000" w:rsidRPr="00000000" w14:paraId="00000036">
            <w:pPr>
              <w:spacing w:after="0" w:line="240" w:lineRule="auto"/>
              <w:rPr>
                <w:rFonts w:ascii="Verdana" w:cs="Verdana" w:eastAsia="Verdana" w:hAnsi="Verdana"/>
                <w:sz w:val="24"/>
                <w:szCs w:val="24"/>
                <w:shd w:fill="e7e6e6" w:val="clear"/>
              </w:rPr>
            </w:pPr>
            <w:r w:rsidDel="00000000" w:rsidR="00000000" w:rsidRPr="00000000">
              <w:rPr>
                <w:rtl w:val="0"/>
              </w:rPr>
            </w:r>
          </w:p>
          <w:p w:rsidR="00000000" w:rsidDel="00000000" w:rsidP="00000000" w:rsidRDefault="00000000" w:rsidRPr="00000000" w14:paraId="00000037">
            <w:pPr>
              <w:spacing w:after="60" w:before="60" w:line="240" w:lineRule="auto"/>
              <w:rPr>
                <w:rFonts w:ascii="Verdana" w:cs="Verdana" w:eastAsia="Verdana" w:hAnsi="Verdana"/>
                <w:color w:val="000000"/>
                <w:sz w:val="24"/>
                <w:szCs w:val="24"/>
              </w:rPr>
            </w:pPr>
            <w:r w:rsidDel="00000000" w:rsidR="00000000" w:rsidRPr="00000000">
              <w:rPr>
                <w:rFonts w:ascii="Verdana" w:cs="Verdana" w:eastAsia="Verdana" w:hAnsi="Verdana"/>
                <w:sz w:val="24"/>
                <w:szCs w:val="24"/>
                <w:highlight w:val="white"/>
                <w:rtl w:val="0"/>
              </w:rPr>
              <w:t xml:space="preserve">It is important to note that </w:t>
            </w:r>
            <w:r w:rsidDel="00000000" w:rsidR="00000000" w:rsidRPr="00000000">
              <w:rPr>
                <w:rFonts w:ascii="Verdana" w:cs="Verdana" w:eastAsia="Verdana" w:hAnsi="Verdana"/>
                <w:color w:val="000000"/>
                <w:sz w:val="24"/>
                <w:szCs w:val="24"/>
                <w:rtl w:val="0"/>
              </w:rPr>
              <w:t xml:space="preserve">there is a clear financial benefit to helping people with disabilities remain in their homes via modifications. If a person with a disability can no longer safely stay in their home, they may have to resort to housing options like nursing facilities, institutionalization or becoming unhoused. </w:t>
            </w:r>
            <w:r w:rsidDel="00000000" w:rsidR="00000000" w:rsidRPr="00000000">
              <w:rPr>
                <w:rFonts w:ascii="Verdana" w:cs="Verdana" w:eastAsia="Verdana" w:hAnsi="Verdana"/>
                <w:color w:val="000000"/>
                <w:sz w:val="24"/>
                <w:szCs w:val="24"/>
                <w:highlight w:val="white"/>
                <w:rtl w:val="0"/>
              </w:rPr>
              <w:t xml:space="preserve">Nursing facility care in Texas costs approximately $190 per day, or roughly $5,700 per person per month.</w:t>
            </w:r>
            <w:r w:rsidDel="00000000" w:rsidR="00000000" w:rsidRPr="00000000">
              <w:rPr>
                <w:rFonts w:ascii="Verdana" w:cs="Verdana" w:eastAsia="Verdana" w:hAnsi="Verdana"/>
                <w:color w:val="000000"/>
                <w:sz w:val="24"/>
                <w:szCs w:val="24"/>
                <w:highlight w:val="white"/>
                <w:vertAlign w:val="superscript"/>
              </w:rPr>
              <w:footnoteReference w:customMarkFollows="0" w:id="8"/>
            </w:r>
            <w:r w:rsidDel="00000000" w:rsidR="00000000" w:rsidRPr="00000000">
              <w:rPr>
                <w:rFonts w:ascii="Verdana" w:cs="Verdana" w:eastAsia="Verdana" w:hAnsi="Verdana"/>
                <w:color w:val="000000"/>
                <w:sz w:val="24"/>
                <w:szCs w:val="24"/>
                <w:highlight w:val="white"/>
                <w:rtl w:val="0"/>
              </w:rPr>
              <w:t xml:space="preserve"> As Medicaid covers the full cost for eligible low income Texans, the state is left with a large part of this bill.</w:t>
            </w:r>
            <w:r w:rsidDel="00000000" w:rsidR="00000000" w:rsidRPr="00000000">
              <w:rPr>
                <w:rFonts w:ascii="Verdana" w:cs="Verdana" w:eastAsia="Verdana" w:hAnsi="Verdana"/>
                <w:color w:val="000000"/>
                <w:sz w:val="24"/>
                <w:szCs w:val="24"/>
                <w:highlight w:val="white"/>
                <w:vertAlign w:val="superscript"/>
              </w:rPr>
              <w:footnoteReference w:customMarkFollows="0" w:id="9"/>
            </w:r>
            <w:r w:rsidDel="00000000" w:rsidR="00000000" w:rsidRPr="00000000">
              <w:rPr>
                <w:rFonts w:ascii="Verdana" w:cs="Verdana" w:eastAsia="Verdana" w:hAnsi="Verdana"/>
                <w:color w:val="000000"/>
                <w:sz w:val="24"/>
                <w:szCs w:val="24"/>
                <w:highlight w:val="white"/>
                <w:rtl w:val="0"/>
              </w:rPr>
              <w:t xml:space="preserve"> Residing in a community-based intermediate care facility (ICF) costs $5,247 per month, and residing in a State Supported Living Center (SSLC) costs an average of $29,488 per month.</w:t>
            </w:r>
            <w:r w:rsidDel="00000000" w:rsidR="00000000" w:rsidRPr="00000000">
              <w:rPr>
                <w:rFonts w:ascii="Verdana" w:cs="Verdana" w:eastAsia="Verdana" w:hAnsi="Verdana"/>
                <w:color w:val="000000"/>
                <w:sz w:val="24"/>
                <w:szCs w:val="24"/>
                <w:highlight w:val="white"/>
                <w:vertAlign w:val="superscript"/>
              </w:rPr>
              <w:footnoteReference w:customMarkFollows="0" w:id="10"/>
            </w:r>
            <w:r w:rsidDel="00000000" w:rsidR="00000000" w:rsidRPr="00000000">
              <w:rPr>
                <w:rFonts w:ascii="Verdana" w:cs="Verdana" w:eastAsia="Verdana" w:hAnsi="Verdana"/>
                <w:color w:val="000000"/>
                <w:sz w:val="24"/>
                <w:szCs w:val="24"/>
                <w:highlight w:val="white"/>
                <w:rtl w:val="0"/>
              </w:rPr>
              <w:t xml:space="preserve"> Even a short stay in a nursing home or ICF can exceed the one-time $22,500 cost of home modifications through the AYBR Program: 1 month in an SSLC costs 30% more.</w:t>
            </w:r>
            <w:r w:rsidDel="00000000" w:rsidR="00000000" w:rsidRPr="00000000">
              <w:rPr>
                <w:rtl w:val="0"/>
              </w:rPr>
            </w:r>
          </w:p>
        </w:tc>
      </w:tr>
      <w:tr>
        <w:trPr>
          <w:cantSplit w:val="0"/>
          <w:trHeight w:val="1008"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39">
            <w:pPr>
              <w:spacing w:after="120" w:line="240" w:lineRule="auto"/>
              <w:rPr>
                <w:rFonts w:ascii="Times New Roman" w:cs="Times New Roman" w:eastAsia="Times New Roman" w:hAnsi="Times New Roman"/>
                <w:b w:val="1"/>
                <w:bCs w:val="1"/>
                <w:sz w:val="52"/>
                <w:szCs w:val="52"/>
              </w:rPr>
            </w:pPr>
            <w:r w:rsidDel="00000000" w:rsidR="00000000" w:rsidRPr="00000000">
              <w:rPr>
                <w:rFonts w:ascii="Verdana" w:cs="Verdana" w:eastAsia="Verdana" w:hAnsi="Verdana"/>
                <w:b w:val="1"/>
                <w:bCs w:val="1"/>
                <w:color w:val="000000"/>
                <w:sz w:val="24"/>
                <w:szCs w:val="24"/>
                <w:rtl w:val="0"/>
              </w:rPr>
              <w:t xml:space="preserve">Link to additional information:</w:t>
            </w:r>
            <w:r w:rsidDel="00000000" w:rsidR="00000000" w:rsidRPr="00000000">
              <w:rPr>
                <w:rtl w:val="0"/>
              </w:rPr>
            </w:r>
          </w:p>
          <w:p w:rsidR="00000000" w:rsidDel="00000000" w:rsidP="00000000" w:rsidRDefault="00000000" w:rsidRPr="00000000" w14:paraId="0000003A">
            <w:pPr>
              <w:spacing w:after="60" w:before="60" w:line="240" w:lineRule="auto"/>
              <w:rPr>
                <w:rFonts w:ascii="Verdana" w:cs="Verdana" w:eastAsia="Verdana" w:hAnsi="Verdana"/>
                <w:sz w:val="24"/>
                <w:szCs w:val="24"/>
                <w:shd w:fill="e7e6e6" w:val="clear"/>
              </w:rPr>
            </w:pPr>
            <w:r w:rsidDel="00000000" w:rsidR="00000000" w:rsidRPr="00000000">
              <w:rPr>
                <w:rFonts w:ascii="Verdana" w:cs="Verdana" w:eastAsia="Verdana" w:hAnsi="Verdana"/>
                <w:sz w:val="24"/>
                <w:szCs w:val="24"/>
                <w:shd w:fill="e7e6e6" w:val="clear"/>
                <w:rtl w:val="0"/>
              </w:rPr>
              <w:t xml:space="preserve">If you are aware of research, state law, rules, news articles or any other relevant background information insert those links.</w:t>
            </w:r>
          </w:p>
          <w:p w:rsidR="00000000" w:rsidDel="00000000" w:rsidP="00000000" w:rsidRDefault="00000000" w:rsidRPr="00000000" w14:paraId="0000003B">
            <w:pPr>
              <w:spacing w:after="60" w:before="60" w:line="240" w:lineRule="auto"/>
              <w:rPr>
                <w:rFonts w:ascii="Verdana" w:cs="Verdana" w:eastAsia="Verdana" w:hAnsi="Verdana"/>
                <w:sz w:val="24"/>
                <w:szCs w:val="24"/>
                <w:shd w:fill="e7e6e6" w:val="clear"/>
              </w:rPr>
            </w:pPr>
            <w:r w:rsidDel="00000000" w:rsidR="00000000" w:rsidRPr="00000000">
              <w:rPr>
                <w:rFonts w:ascii="Verdana" w:cs="Verdana" w:eastAsia="Verdana" w:hAnsi="Verdana"/>
                <w:sz w:val="24"/>
                <w:szCs w:val="24"/>
                <w:shd w:fill="e7e6e6" w:val="clear"/>
                <w:rtl w:val="0"/>
              </w:rPr>
              <w:t xml:space="preserve">Background information on the AYBR Program is available here: </w:t>
            </w:r>
            <w:hyperlink r:id="rId9">
              <w:r w:rsidDel="00000000" w:rsidR="00000000" w:rsidRPr="00000000">
                <w:rPr>
                  <w:rFonts w:ascii="Verdana" w:cs="Verdana" w:eastAsia="Verdana" w:hAnsi="Verdana"/>
                  <w:color w:val="0000ff"/>
                  <w:sz w:val="24"/>
                  <w:szCs w:val="24"/>
                  <w:u w:val="single"/>
                  <w:shd w:fill="e7e6e6" w:val="clear"/>
                  <w:rtl w:val="0"/>
                </w:rPr>
                <w:t xml:space="preserve">https://www.tdhca.texas.gov/sites/default/files/SFHP-division/htf/docs/26-27-Plan-ONLY-amended-Sep-2025.pdf</w:t>
              </w:r>
            </w:hyperlink>
            <w:r w:rsidDel="00000000" w:rsidR="00000000" w:rsidRPr="00000000">
              <w:rPr>
                <w:rFonts w:ascii="Verdana" w:cs="Verdana" w:eastAsia="Verdana" w:hAnsi="Verdana"/>
                <w:sz w:val="24"/>
                <w:szCs w:val="24"/>
                <w:shd w:fill="e7e6e6" w:val="clear"/>
                <w:rtl w:val="0"/>
              </w:rPr>
              <w:t xml:space="preserve"> </w:t>
            </w:r>
          </w:p>
          <w:p w:rsidR="00000000" w:rsidDel="00000000" w:rsidP="00000000" w:rsidRDefault="00000000" w:rsidRPr="00000000" w14:paraId="0000003C">
            <w:pPr>
              <w:spacing w:after="60" w:before="60" w:line="240" w:lineRule="auto"/>
              <w:rPr>
                <w:rFonts w:ascii="Verdana" w:cs="Verdana" w:eastAsia="Verdana" w:hAnsi="Verdana"/>
                <w:sz w:val="24"/>
                <w:szCs w:val="24"/>
                <w:shd w:fill="e7e6e6" w:val="clear"/>
              </w:rPr>
            </w:pPr>
            <w:r w:rsidDel="00000000" w:rsidR="00000000" w:rsidRPr="00000000">
              <w:rPr>
                <w:rFonts w:ascii="Verdana" w:cs="Verdana" w:eastAsia="Verdana" w:hAnsi="Verdana"/>
                <w:sz w:val="24"/>
                <w:szCs w:val="24"/>
                <w:shd w:fill="e7e6e6" w:val="clear"/>
                <w:rtl w:val="0"/>
              </w:rPr>
              <w:t xml:space="preserve">Information on the funding breakdown of the AYBR Program is available here: </w:t>
            </w:r>
            <w:hyperlink r:id="rId10">
              <w:r w:rsidDel="00000000" w:rsidR="00000000" w:rsidRPr="00000000">
                <w:rPr>
                  <w:rFonts w:ascii="Verdana" w:cs="Verdana" w:eastAsia="Verdana" w:hAnsi="Verdana"/>
                  <w:color w:val="0000ff"/>
                  <w:sz w:val="24"/>
                  <w:szCs w:val="24"/>
                  <w:u w:val="single"/>
                  <w:shd w:fill="e7e6e6" w:val="clear"/>
                  <w:rtl w:val="0"/>
                </w:rPr>
                <w:t xml:space="preserve">https://www.tdhca.texas.gov/htf-funding-sources-and-background</w:t>
              </w:r>
            </w:hyperlink>
            <w:r w:rsidDel="00000000" w:rsidR="00000000" w:rsidRPr="00000000">
              <w:rPr>
                <w:rFonts w:ascii="Verdana" w:cs="Verdana" w:eastAsia="Verdana" w:hAnsi="Verdana"/>
                <w:sz w:val="24"/>
                <w:szCs w:val="24"/>
                <w:shd w:fill="e7e6e6" w:val="clear"/>
                <w:rtl w:val="0"/>
              </w:rPr>
              <w:t xml:space="preserve"> </w:t>
            </w:r>
          </w:p>
          <w:p w:rsidR="00000000" w:rsidDel="00000000" w:rsidP="00000000" w:rsidRDefault="00000000" w:rsidRPr="00000000" w14:paraId="0000003D">
            <w:pPr>
              <w:spacing w:after="60" w:before="60" w:line="240" w:lineRule="auto"/>
              <w:rPr>
                <w:rFonts w:ascii="Verdana" w:cs="Verdana" w:eastAsia="Verdana" w:hAnsi="Verdana"/>
              </w:rPr>
            </w:pPr>
            <w:r w:rsidDel="00000000" w:rsidR="00000000" w:rsidRPr="00000000">
              <w:rPr>
                <w:rtl w:val="0"/>
              </w:rPr>
            </w:r>
          </w:p>
        </w:tc>
      </w:tr>
      <w:tr>
        <w:trPr>
          <w:cantSplit w:val="0"/>
          <w:trHeight w:val="837"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3F">
            <w:pPr>
              <w:spacing w:after="6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State agency(ies) affected by proposal:</w:t>
            </w:r>
          </w:p>
          <w:p w:rsidR="00000000" w:rsidDel="00000000" w:rsidP="00000000" w:rsidRDefault="00000000" w:rsidRPr="00000000" w14:paraId="000000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rFonts w:ascii="Verdana" w:cs="Verdana" w:eastAsia="Verdana" w:hAnsi="Verdana"/>
                <w:b w:val="0"/>
                <w:bCs w:val="0"/>
                <w:i w:val="0"/>
                <w:iCs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2"/>
                <w:szCs w:val="22"/>
                <w:u w:val="none"/>
                <w:shd w:fill="auto" w:val="clear"/>
                <w:vertAlign w:val="baseline"/>
                <w:rtl w:val="0"/>
              </w:rPr>
              <w:t xml:space="preserve">TDHCA</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20" w:right="0" w:hanging="360"/>
              <w:jc w:val="left"/>
              <w:rPr>
                <w:rFonts w:ascii="Verdana" w:cs="Verdana" w:eastAsia="Verdana" w:hAnsi="Verdana"/>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e7e6e6" w:val="clear"/>
                <w:vertAlign w:val="baseline"/>
                <w:rtl w:val="0"/>
              </w:rPr>
              <w:t xml:space="preserve">Click or tap here to enter text.</w:t>
            </w:r>
            <w:r w:rsidDel="00000000" w:rsidR="00000000" w:rsidRPr="00000000">
              <w:rPr>
                <w:rtl w:val="0"/>
              </w:rPr>
            </w:r>
          </w:p>
        </w:tc>
      </w:tr>
      <w:tr>
        <w:trPr>
          <w:cantSplit w:val="0"/>
          <w:trHeight w:val="918"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43">
            <w:pPr>
              <w:spacing w:after="60" w:line="240" w:lineRule="auto"/>
              <w:rPr>
                <w:rFonts w:ascii="Times New Roman" w:cs="Times New Roman" w:eastAsia="Times New Roman" w:hAnsi="Times New Roman"/>
                <w:sz w:val="24"/>
                <w:szCs w:val="24"/>
              </w:rPr>
            </w:pPr>
            <w:r w:rsidDel="00000000" w:rsidR="00000000" w:rsidRPr="00000000">
              <w:rPr>
                <w:rFonts w:ascii="Verdana" w:cs="Verdana" w:eastAsia="Verdana" w:hAnsi="Verdana"/>
                <w:color w:val="000000"/>
                <w:sz w:val="24"/>
                <w:szCs w:val="24"/>
                <w:rtl w:val="0"/>
              </w:rPr>
              <w:t xml:space="preserve">Stakeholder groups likely to support this proposal:</w:t>
            </w:r>
            <w:r w:rsidDel="00000000" w:rsidR="00000000" w:rsidRPr="00000000">
              <w:rPr>
                <w:rtl w:val="0"/>
              </w:rPr>
            </w:r>
          </w:p>
          <w:p w:rsidR="00000000" w:rsidDel="00000000" w:rsidP="00000000" w:rsidRDefault="00000000" w:rsidRPr="00000000" w14:paraId="00000044">
            <w:pPr>
              <w:numPr>
                <w:ilvl w:val="0"/>
                <w:numId w:val="3"/>
              </w:numPr>
              <w:spacing w:after="60" w:before="60" w:line="240" w:lineRule="auto"/>
              <w:ind w:left="720" w:hanging="360"/>
              <w:rPr>
                <w:rFonts w:ascii="Verdana" w:cs="Verdana" w:eastAsia="Verdana" w:hAnsi="Verdana"/>
                <w:color w:val="000000"/>
                <w:sz w:val="24"/>
                <w:szCs w:val="24"/>
              </w:rPr>
            </w:pPr>
            <w:r w:rsidDel="00000000" w:rsidR="00000000" w:rsidRPr="00000000">
              <w:rPr>
                <w:rFonts w:ascii="Verdana" w:cs="Verdana" w:eastAsia="Verdana" w:hAnsi="Verdana"/>
                <w:color w:val="000000"/>
                <w:sz w:val="24"/>
                <w:szCs w:val="24"/>
                <w:rtl w:val="0"/>
              </w:rPr>
              <w:t xml:space="preserve">Disability advocacy organizations (Disability Rights Texas, The ARC of Texas, Coalition of Texans with Disabilities, etc.)</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Tenants rights organizations – Texas Housers, Affordable Housing Austin!</w:t>
            </w:r>
          </w:p>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4"/>
                <w:szCs w:val="24"/>
                <w:u w:val="none"/>
                <w:shd w:fill="auto" w:val="clear"/>
                <w:vertAlign w:val="baseline"/>
                <w:rtl w:val="0"/>
              </w:rPr>
              <w:t xml:space="preserve">AYBR administrators</w:t>
            </w:r>
          </w:p>
        </w:tc>
      </w:tr>
      <w:tr>
        <w:trPr>
          <w:cantSplit w:val="0"/>
          <w:trHeight w:val="1035"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48">
            <w:pPr>
              <w:spacing w:after="6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Stakeholder groups likely to oppose this proposal: </w:t>
            </w:r>
          </w:p>
          <w:p w:rsidR="00000000" w:rsidDel="00000000" w:rsidP="00000000" w:rsidRDefault="00000000" w:rsidRPr="00000000" w14:paraId="00000049">
            <w:pPr>
              <w:numPr>
                <w:ilvl w:val="0"/>
                <w:numId w:val="3"/>
              </w:numPr>
              <w:spacing w:after="60" w:before="60" w:line="240" w:lineRule="auto"/>
              <w:ind w:left="720" w:hanging="360"/>
              <w:rPr>
                <w:rFonts w:ascii="Verdana" w:cs="Verdana" w:eastAsia="Verdana" w:hAnsi="Verdana"/>
                <w:color w:val="000000"/>
              </w:rPr>
            </w:pPr>
            <w:r w:rsidDel="00000000" w:rsidR="00000000" w:rsidRPr="00000000">
              <w:rPr>
                <w:color w:val="808080"/>
                <w:shd w:fill="e7e6e6" w:val="clear"/>
                <w:rtl w:val="0"/>
              </w:rPr>
              <w:t xml:space="preserve">Click or tap here to enter text.</w:t>
            </w:r>
            <w:r w:rsidDel="00000000" w:rsidR="00000000" w:rsidRPr="00000000">
              <w:rPr>
                <w:rtl w:val="0"/>
              </w:rPr>
            </w:r>
          </w:p>
          <w:p w:rsidR="00000000" w:rsidDel="00000000" w:rsidP="00000000" w:rsidRDefault="00000000" w:rsidRPr="00000000" w14:paraId="0000004A">
            <w:pPr>
              <w:numPr>
                <w:ilvl w:val="0"/>
                <w:numId w:val="3"/>
              </w:numPr>
              <w:spacing w:after="60" w:before="60" w:line="240" w:lineRule="auto"/>
              <w:ind w:left="720" w:hanging="360"/>
              <w:rPr>
                <w:rFonts w:ascii="Verdana" w:cs="Verdana" w:eastAsia="Verdana" w:hAnsi="Verdana"/>
                <w:color w:val="000000"/>
              </w:rPr>
            </w:pPr>
            <w:r w:rsidDel="00000000" w:rsidR="00000000" w:rsidRPr="00000000">
              <w:rPr>
                <w:color w:val="808080"/>
                <w:shd w:fill="e7e6e6" w:val="clear"/>
                <w:rtl w:val="0"/>
              </w:rPr>
              <w:t xml:space="preserve">Click or tap here to enter text.</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Verdana" w:cs="Verdana" w:eastAsia="Verdana" w:hAnsi="Verdana"/>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e7e6e6" w:val="clear"/>
                <w:vertAlign w:val="baseline"/>
                <w:rtl w:val="0"/>
              </w:rPr>
              <w:t xml:space="preserve">Click or tap here to enter text.</w:t>
            </w:r>
            <w:r w:rsidDel="00000000" w:rsidR="00000000" w:rsidRPr="00000000">
              <w:rPr>
                <w:rtl w:val="0"/>
              </w:rPr>
            </w:r>
          </w:p>
        </w:tc>
      </w:tr>
      <w:tr>
        <w:trPr>
          <w:cantSplit w:val="0"/>
          <w:trHeight w:val="1305"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4D">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Describe how affected groups will be impacted by proposed solution(s) (i.e., cities, counties, businesses, employers, etc.):</w:t>
            </w:r>
          </w:p>
          <w:p w:rsidR="00000000" w:rsidDel="00000000" w:rsidP="00000000" w:rsidRDefault="00000000" w:rsidRPr="00000000" w14:paraId="0000004E">
            <w:pPr>
              <w:tabs>
                <w:tab w:val="left" w:leader="none" w:pos="1259"/>
              </w:tabs>
              <w:rPr>
                <w:rFonts w:ascii="Verdana" w:cs="Verdana" w:eastAsia="Verdana" w:hAnsi="Verdana"/>
                <w:color w:val="000000"/>
                <w:shd w:fill="e7e6e6" w:val="clear"/>
              </w:rPr>
            </w:pPr>
            <w:r w:rsidDel="00000000" w:rsidR="00000000" w:rsidRPr="00000000">
              <w:rPr>
                <w:rFonts w:ascii="Verdana" w:cs="Verdana" w:eastAsia="Verdana" w:hAnsi="Verdana"/>
                <w:color w:val="000000"/>
                <w:shd w:fill="e7e6e6" w:val="clear"/>
                <w:rtl w:val="0"/>
              </w:rPr>
              <w:t xml:space="preserve">Home modification contractors, qualified program administrators. Hooray for more business. Local administrators will have some help.</w:t>
            </w:r>
          </w:p>
          <w:p w:rsidR="00000000" w:rsidDel="00000000" w:rsidP="00000000" w:rsidRDefault="00000000" w:rsidRPr="00000000" w14:paraId="0000004F">
            <w:pPr>
              <w:tabs>
                <w:tab w:val="left" w:leader="none" w:pos="1259"/>
              </w:tabs>
              <w:rPr>
                <w:rFonts w:ascii="Verdana" w:cs="Verdana" w:eastAsia="Verdana" w:hAnsi="Verdana"/>
              </w:rPr>
            </w:pPr>
            <w:r w:rsidDel="00000000" w:rsidR="00000000" w:rsidRPr="00000000">
              <w:rPr>
                <w:rFonts w:ascii="Verdana" w:cs="Verdana" w:eastAsia="Verdana" w:hAnsi="Verdana"/>
                <w:sz w:val="24"/>
                <w:szCs w:val="24"/>
                <w:rtl w:val="0"/>
              </w:rPr>
              <w:t xml:space="preserve">AYBR Program administrators of every type will benefit from this policy proposal. Local government administrators will benefit from more funding as it will allow them to complete more projects. Nonprofit administrators will benefit because they will not have to rely as heavily on potentially fluctuating outside funding sources to complete more AYBR Program projects. The AYBR Program is a stable source of funding: if it is better funded, program administrators will have an easier time providing the home modifications that Texans with disabilities need.</w:t>
            </w:r>
            <w:r w:rsidDel="00000000" w:rsidR="00000000" w:rsidRPr="00000000">
              <w:rPr>
                <w:rtl w:val="0"/>
              </w:rPr>
            </w:r>
          </w:p>
        </w:tc>
      </w:tr>
      <w:tr>
        <w:trPr>
          <w:cantSplit w:val="0"/>
          <w:trHeight w:val="1296"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51">
            <w:pPr>
              <w:spacing w:after="60" w:line="240" w:lineRule="auto"/>
              <w:rPr>
                <w:rFonts w:ascii="Times New Roman" w:cs="Times New Roman" w:eastAsia="Times New Roman" w:hAnsi="Times New Roman"/>
                <w:b w:val="1"/>
                <w:bCs w:val="1"/>
                <w:sz w:val="48"/>
                <w:szCs w:val="48"/>
              </w:rPr>
            </w:pPr>
            <w:r w:rsidDel="00000000" w:rsidR="00000000" w:rsidRPr="00000000">
              <w:rPr>
                <w:rFonts w:ascii="Verdana" w:cs="Verdana" w:eastAsia="Verdana" w:hAnsi="Verdana"/>
                <w:b w:val="1"/>
                <w:bCs w:val="1"/>
                <w:color w:val="000000"/>
                <w:sz w:val="24"/>
                <w:szCs w:val="24"/>
                <w:rtl w:val="0"/>
              </w:rPr>
              <w:t xml:space="preserve">The policy proposal will require a change in:</w:t>
            </w:r>
            <w:r w:rsidDel="00000000" w:rsidR="00000000" w:rsidRPr="00000000">
              <w:rPr>
                <w:rtl w:val="0"/>
              </w:rPr>
            </w:r>
          </w:p>
          <w:p w:rsidR="00000000" w:rsidDel="00000000" w:rsidP="00000000" w:rsidRDefault="00000000" w:rsidRPr="00000000" w14:paraId="00000052">
            <w:pPr>
              <w:spacing w:after="60" w:line="240" w:lineRule="auto"/>
              <w:ind w:right="-264"/>
              <w:rPr>
                <w:rFonts w:ascii="Verdana" w:cs="Verdana" w:eastAsia="Verdana" w:hAnsi="Verdana"/>
                <w:b w:val="1"/>
                <w:bCs w:val="1"/>
                <w:color w:val="000000"/>
              </w:rPr>
            </w:pPr>
            <w:r w:rsidDel="00000000" w:rsidR="00000000" w:rsidRPr="00000000">
              <w:rPr>
                <w:rFonts w:ascii="Verdana" w:cs="Verdana" w:eastAsia="Verdana" w:hAnsi="Verdana"/>
                <w:b w:val="1"/>
                <w:bCs w:val="1"/>
                <w:color w:val="000000"/>
                <w:rtl w:val="0"/>
              </w:rPr>
              <w:t xml:space="preserve">Administrative Policy </w:t>
            </w:r>
            <w:r w:rsidDel="00000000" w:rsidR="00000000" w:rsidRPr="00000000">
              <w:rPr>
                <w:rFonts w:ascii="MS Gothic" w:cs="MS Gothic" w:eastAsia="MS Gothic" w:hAnsi="MS Gothic"/>
                <w:b w:val="1"/>
                <w:bCs w:val="1"/>
                <w:color w:val="000000"/>
                <w:rtl w:val="0"/>
              </w:rPr>
              <w:t xml:space="preserve">☐</w:t>
            </w:r>
            <w:r w:rsidDel="00000000" w:rsidR="00000000" w:rsidRPr="00000000">
              <w:rPr>
                <w:rFonts w:ascii="Verdana" w:cs="Verdana" w:eastAsia="Verdana" w:hAnsi="Verdana"/>
                <w:b w:val="1"/>
                <w:bCs w:val="1"/>
                <w:color w:val="000000"/>
                <w:rtl w:val="0"/>
              </w:rPr>
              <w:t xml:space="preserve"> Agency Rule </w:t>
            </w:r>
            <w:r w:rsidDel="00000000" w:rsidR="00000000" w:rsidRPr="00000000">
              <w:rPr>
                <w:rFonts w:ascii="MS Gothic" w:cs="MS Gothic" w:eastAsia="MS Gothic" w:hAnsi="MS Gothic"/>
                <w:b w:val="1"/>
                <w:bCs w:val="1"/>
                <w:color w:val="000000"/>
                <w:rtl w:val="0"/>
              </w:rPr>
              <w:t xml:space="preserve">☒</w:t>
            </w:r>
            <w:r w:rsidDel="00000000" w:rsidR="00000000" w:rsidRPr="00000000">
              <w:rPr>
                <w:rFonts w:ascii="Verdana" w:cs="Verdana" w:eastAsia="Verdana" w:hAnsi="Verdana"/>
                <w:b w:val="1"/>
                <w:bCs w:val="1"/>
                <w:color w:val="000000"/>
                <w:rtl w:val="0"/>
              </w:rPr>
              <w:t xml:space="preserve">   State Law  </w:t>
            </w:r>
            <w:r w:rsidDel="00000000" w:rsidR="00000000" w:rsidRPr="00000000">
              <w:rPr>
                <w:rFonts w:ascii="MS Gothic" w:cs="MS Gothic" w:eastAsia="MS Gothic" w:hAnsi="MS Gothic"/>
                <w:b w:val="1"/>
                <w:bCs w:val="1"/>
                <w:color w:val="000000"/>
                <w:rtl w:val="0"/>
              </w:rPr>
              <w:t xml:space="preserve">☒</w:t>
            </w:r>
            <w:r w:rsidDel="00000000" w:rsidR="00000000" w:rsidRPr="00000000">
              <w:rPr>
                <w:rtl w:val="0"/>
              </w:rPr>
            </w:r>
          </w:p>
          <w:p w:rsidR="00000000" w:rsidDel="00000000" w:rsidP="00000000" w:rsidRDefault="00000000" w:rsidRPr="00000000" w14:paraId="00000053">
            <w:pPr>
              <w:spacing w:after="240" w:line="240" w:lineRule="auto"/>
              <w:ind w:right="-259"/>
              <w:rPr>
                <w:rFonts w:ascii="Times New Roman" w:cs="Times New Roman" w:eastAsia="Times New Roman" w:hAnsi="Times New Roman"/>
                <w:b w:val="1"/>
                <w:bCs w:val="1"/>
              </w:rPr>
            </w:pPr>
            <w:r w:rsidDel="00000000" w:rsidR="00000000" w:rsidRPr="00000000">
              <w:rPr>
                <w:rFonts w:ascii="Verdana" w:cs="Verdana" w:eastAsia="Verdana" w:hAnsi="Verdana"/>
                <w:b w:val="1"/>
                <w:bCs w:val="1"/>
                <w:color w:val="000000"/>
                <w:rtl w:val="0"/>
              </w:rPr>
              <w:t xml:space="preserve">New Law </w:t>
            </w:r>
            <w:r w:rsidDel="00000000" w:rsidR="00000000" w:rsidRPr="00000000">
              <w:rPr>
                <w:rFonts w:ascii="MS Gothic" w:cs="MS Gothic" w:eastAsia="MS Gothic" w:hAnsi="MS Gothic"/>
                <w:b w:val="1"/>
                <w:bCs w:val="1"/>
                <w:color w:val="000000"/>
                <w:shd w:fill="e7e6e6" w:val="clear"/>
                <w:rtl w:val="0"/>
              </w:rPr>
              <w:t xml:space="preserve">☐</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Verdana" w:cs="Verdana" w:eastAsia="Verdana" w:hAnsi="Verdana"/>
                <w:b w:val="1"/>
                <w:bCs w:val="1"/>
                <w:color w:val="000000"/>
                <w:rtl w:val="0"/>
              </w:rPr>
              <w:t xml:space="preserve">Other (e.g. public awareness campaign, etc.) </w:t>
            </w:r>
            <w:r w:rsidDel="00000000" w:rsidR="00000000" w:rsidRPr="00000000">
              <w:rPr>
                <w:rFonts w:ascii="MS Gothic" w:cs="MS Gothic" w:eastAsia="MS Gothic" w:hAnsi="MS Gothic"/>
                <w:b w:val="1"/>
                <w:bCs w:val="1"/>
                <w:color w:val="000000"/>
                <w:rtl w:val="0"/>
              </w:rPr>
              <w:t xml:space="preserve">☐</w:t>
            </w:r>
            <w:r w:rsidDel="00000000" w:rsidR="00000000" w:rsidRPr="00000000">
              <w:rPr>
                <w:rtl w:val="0"/>
              </w:rPr>
            </w:r>
          </w:p>
          <w:p w:rsidR="00000000" w:rsidDel="00000000" w:rsidP="00000000" w:rsidRDefault="00000000" w:rsidRPr="00000000" w14:paraId="00000054">
            <w:pPr>
              <w:spacing w:after="60" w:before="60" w:line="240" w:lineRule="auto"/>
              <w:rPr>
                <w:rFonts w:ascii="Verdana" w:cs="Verdana" w:eastAsia="Verdana" w:hAnsi="Verdana"/>
                <w:color w:val="000000"/>
              </w:rPr>
            </w:pPr>
            <w:r w:rsidDel="00000000" w:rsidR="00000000" w:rsidRPr="00000000">
              <w:rPr>
                <w:rFonts w:ascii="Verdana" w:cs="Verdana" w:eastAsia="Verdana" w:hAnsi="Verdana"/>
                <w:b w:val="1"/>
                <w:bCs w:val="1"/>
                <w:color w:val="000000"/>
                <w:sz w:val="24"/>
                <w:szCs w:val="24"/>
                <w:rtl w:val="0"/>
              </w:rPr>
              <w:t xml:space="preserve">Link</w:t>
            </w:r>
            <w:r w:rsidDel="00000000" w:rsidR="00000000" w:rsidRPr="00000000">
              <w:rPr>
                <w:rFonts w:ascii="Verdana" w:cs="Verdana" w:eastAsia="Verdana" w:hAnsi="Verdana"/>
                <w:color w:val="000000"/>
                <w:sz w:val="24"/>
                <w:szCs w:val="24"/>
                <w:rtl w:val="0"/>
              </w:rPr>
              <w:t xml:space="preserve">: </w:t>
            </w:r>
            <w:r w:rsidDel="00000000" w:rsidR="00000000" w:rsidRPr="00000000">
              <w:rPr>
                <w:rFonts w:ascii="Verdana" w:cs="Verdana" w:eastAsia="Verdana" w:hAnsi="Verdana"/>
                <w:color w:val="000000"/>
                <w:sz w:val="24"/>
                <w:szCs w:val="24"/>
                <w:shd w:fill="e7e6e6" w:val="clear"/>
                <w:rtl w:val="0"/>
              </w:rPr>
              <w:t xml:space="preserve">If it requires a change in agency rule or state law, link to the rule or law.</w:t>
            </w:r>
            <w:r w:rsidDel="00000000" w:rsidR="00000000" w:rsidRPr="00000000">
              <w:rPr>
                <w:rtl w:val="0"/>
              </w:rPr>
            </w:r>
          </w:p>
        </w:tc>
      </w:tr>
      <w:tr>
        <w:trPr>
          <w:cantSplit w:val="0"/>
          <w:trHeight w:val="427"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56">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Identify GCPD Issue Area(s) affected: </w:t>
            </w:r>
          </w:p>
          <w:p w:rsidR="00000000" w:rsidDel="00000000" w:rsidP="00000000" w:rsidRDefault="00000000" w:rsidRPr="00000000" w14:paraId="00000057">
            <w:pPr>
              <w:spacing w:after="0" w:line="360" w:lineRule="auto"/>
              <w:rPr>
                <w:b w:val="1"/>
                <w:bCs w:val="1"/>
                <w:shd w:fill="e7e6e6" w:val="clear"/>
              </w:rPr>
            </w:pPr>
            <w:r w:rsidDel="00000000" w:rsidR="00000000" w:rsidRPr="00000000">
              <w:rPr>
                <w:rFonts w:ascii="Verdana" w:cs="Verdana" w:eastAsia="Verdana" w:hAnsi="Verdana"/>
                <w:b w:val="1"/>
                <w:bCs w:val="1"/>
                <w:highlight w:val="white"/>
                <w:rtl w:val="0"/>
              </w:rPr>
              <w:t xml:space="preserve">Access</w:t>
            </w:r>
            <w:r w:rsidDel="00000000" w:rsidR="00000000" w:rsidRPr="00000000">
              <w:rPr>
                <w:rFonts w:ascii="MS Gothic" w:cs="MS Gothic" w:eastAsia="MS Gothic" w:hAnsi="MS Gothic"/>
                <w:b w:val="1"/>
                <w:bCs w:val="1"/>
                <w:highlight w:val="white"/>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Communications</w:t>
            </w:r>
            <w:r w:rsidDel="00000000" w:rsidR="00000000" w:rsidRPr="00000000">
              <w:rPr>
                <w:rFonts w:ascii="MS Gothic" w:cs="MS Gothic" w:eastAsia="MS Gothic" w:hAnsi="MS Gothic"/>
                <w:b w:val="1"/>
                <w:bCs w:val="1"/>
                <w:shd w:fill="e7e6e6" w:val="clear"/>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Criminal Justice</w:t>
            </w:r>
            <w:r w:rsidDel="00000000" w:rsidR="00000000" w:rsidRPr="00000000">
              <w:rPr>
                <w:rFonts w:ascii="MS Gothic" w:cs="MS Gothic" w:eastAsia="MS Gothic" w:hAnsi="MS Gothic"/>
                <w:b w:val="1"/>
                <w:bCs w:val="1"/>
                <w:shd w:fill="e7e6e6" w:val="clear"/>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Education</w:t>
            </w:r>
            <w:r w:rsidDel="00000000" w:rsidR="00000000" w:rsidRPr="00000000">
              <w:rPr>
                <w:rFonts w:ascii="MS Gothic" w:cs="MS Gothic" w:eastAsia="MS Gothic" w:hAnsi="MS Gothic"/>
                <w:b w:val="1"/>
                <w:bCs w:val="1"/>
                <w:shd w:fill="e7e6e6" w:val="clear"/>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Emergency Management</w:t>
            </w:r>
            <w:r w:rsidDel="00000000" w:rsidR="00000000" w:rsidRPr="00000000">
              <w:rPr>
                <w:rFonts w:ascii="MS Gothic" w:cs="MS Gothic" w:eastAsia="MS Gothic" w:hAnsi="MS Gothic"/>
                <w:b w:val="1"/>
                <w:bCs w:val="1"/>
                <w:shd w:fill="e7e6e6" w:val="clear"/>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Employment</w:t>
            </w:r>
            <w:r w:rsidDel="00000000" w:rsidR="00000000" w:rsidRPr="00000000">
              <w:rPr>
                <w:rFonts w:ascii="MS Gothic" w:cs="MS Gothic" w:eastAsia="MS Gothic" w:hAnsi="MS Gothic"/>
                <w:b w:val="1"/>
                <w:bCs w:val="1"/>
                <w:shd w:fill="e7e6e6" w:val="clear"/>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Health</w:t>
            </w:r>
            <w:r w:rsidDel="00000000" w:rsidR="00000000" w:rsidRPr="00000000">
              <w:rPr>
                <w:rFonts w:ascii="MS Gothic" w:cs="MS Gothic" w:eastAsia="MS Gothic" w:hAnsi="MS Gothic"/>
                <w:b w:val="1"/>
                <w:bCs w:val="1"/>
                <w:highlight w:val="white"/>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Housing</w:t>
            </w:r>
            <w:r w:rsidDel="00000000" w:rsidR="00000000" w:rsidRPr="00000000">
              <w:rPr>
                <w:rFonts w:ascii="MS Gothic" w:cs="MS Gothic" w:eastAsia="MS Gothic" w:hAnsi="MS Gothic"/>
                <w:b w:val="1"/>
                <w:bCs w:val="1"/>
                <w:highlight w:val="white"/>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Transportation</w:t>
            </w:r>
            <w:r w:rsidDel="00000000" w:rsidR="00000000" w:rsidRPr="00000000">
              <w:rPr>
                <w:rFonts w:ascii="MS Gothic" w:cs="MS Gothic" w:eastAsia="MS Gothic" w:hAnsi="MS Gothic"/>
                <w:b w:val="1"/>
                <w:bCs w:val="1"/>
                <w:shd w:fill="e7e6e6" w:val="clear"/>
                <w:rtl w:val="0"/>
              </w:rPr>
              <w:t xml:space="preserve">☐</w:t>
            </w:r>
            <w:r w:rsidDel="00000000" w:rsidR="00000000" w:rsidRPr="00000000">
              <w:rPr>
                <w:b w:val="1"/>
                <w:bCs w:val="1"/>
                <w:highlight w:val="white"/>
                <w:rtl w:val="0"/>
              </w:rPr>
              <w:t xml:space="preserve">   </w:t>
            </w:r>
            <w:r w:rsidDel="00000000" w:rsidR="00000000" w:rsidRPr="00000000">
              <w:rPr>
                <w:rFonts w:ascii="Verdana" w:cs="Verdana" w:eastAsia="Verdana" w:hAnsi="Verdana"/>
                <w:b w:val="1"/>
                <w:bCs w:val="1"/>
                <w:highlight w:val="white"/>
                <w:rtl w:val="0"/>
              </w:rPr>
              <w:t xml:space="preserve">Veterans</w:t>
            </w:r>
            <w:r w:rsidDel="00000000" w:rsidR="00000000" w:rsidRPr="00000000">
              <w:rPr>
                <w:b w:val="1"/>
                <w:bCs w:val="1"/>
                <w:highlight w:val="white"/>
                <w:rtl w:val="0"/>
              </w:rPr>
              <w:t xml:space="preserve"> </w:t>
            </w:r>
            <w:r w:rsidDel="00000000" w:rsidR="00000000" w:rsidRPr="00000000">
              <w:rPr>
                <w:rFonts w:ascii="MS Gothic" w:cs="MS Gothic" w:eastAsia="MS Gothic" w:hAnsi="MS Gothic"/>
                <w:b w:val="1"/>
                <w:bCs w:val="1"/>
                <w:shd w:fill="e7e6e6" w:val="clear"/>
                <w:rtl w:val="0"/>
              </w:rPr>
              <w:t xml:space="preserve">☐</w:t>
            </w:r>
            <w:r w:rsidDel="00000000" w:rsidR="00000000" w:rsidRPr="00000000">
              <w:rPr>
                <w:rtl w:val="0"/>
              </w:rPr>
            </w:r>
          </w:p>
        </w:tc>
      </w:tr>
      <w:tr>
        <w:trPr>
          <w:cantSplit w:val="0"/>
          <w:trHeight w:val="601"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59">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Contact:</w:t>
            </w:r>
          </w:p>
          <w:p w:rsidR="00000000" w:rsidDel="00000000" w:rsidP="00000000" w:rsidRDefault="00000000" w:rsidRPr="00000000" w14:paraId="0000005A">
            <w:pPr>
              <w:spacing w:after="120" w:line="240" w:lineRule="auto"/>
              <w:rPr>
                <w:rFonts w:ascii="Verdana" w:cs="Verdana" w:eastAsia="Verdana" w:hAnsi="Verdana"/>
                <w:shd w:fill="e7e6e6" w:val="clear"/>
              </w:rPr>
            </w:pPr>
            <w:r w:rsidDel="00000000" w:rsidR="00000000" w:rsidRPr="00000000">
              <w:rPr>
                <w:rFonts w:ascii="Verdana" w:cs="Verdana" w:eastAsia="Verdana" w:hAnsi="Verdana"/>
                <w:shd w:fill="e7e6e6" w:val="clear"/>
                <w:rtl w:val="0"/>
              </w:rPr>
              <w:t xml:space="preserve">Please include your name and the name of your organization.</w:t>
            </w:r>
          </w:p>
          <w:p w:rsidR="00000000" w:rsidDel="00000000" w:rsidP="00000000" w:rsidRDefault="00000000" w:rsidRPr="00000000" w14:paraId="0000005B">
            <w:pPr>
              <w:spacing w:after="120" w:line="240" w:lineRule="auto"/>
              <w:rPr>
                <w:rFonts w:ascii="Verdana" w:cs="Verdana" w:eastAsia="Verdana" w:hAnsi="Verdana"/>
              </w:rPr>
            </w:pPr>
            <w:r w:rsidDel="00000000" w:rsidR="00000000" w:rsidRPr="00000000">
              <w:rPr>
                <w:rFonts w:ascii="Verdana" w:cs="Verdana" w:eastAsia="Verdana" w:hAnsi="Verdana"/>
                <w:sz w:val="24"/>
                <w:szCs w:val="24"/>
                <w:rtl w:val="0"/>
              </w:rPr>
              <w:t xml:space="preserve">Tanya Lavelle, Disability Rights Texas</w:t>
            </w:r>
            <w:r w:rsidDel="00000000" w:rsidR="00000000" w:rsidRPr="00000000">
              <w:rPr>
                <w:rtl w:val="0"/>
              </w:rPr>
            </w:r>
          </w:p>
        </w:tc>
      </w:tr>
      <w:tr>
        <w:trPr>
          <w:cantSplit w:val="0"/>
          <w:trHeight w:val="601"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5D">
            <w:pPr>
              <w:spacing w:after="12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sz w:val="24"/>
                <w:szCs w:val="24"/>
                <w:rtl w:val="0"/>
              </w:rPr>
              <w:t xml:space="preserve">If GCPD adopts this policy, do you commit to directly supporting this proposal through the legislative session?</w:t>
            </w:r>
            <w:r w:rsidDel="00000000" w:rsidR="00000000" w:rsidRPr="00000000">
              <w:rPr>
                <w:rFonts w:ascii="Verdana" w:cs="Verdana" w:eastAsia="Verdana" w:hAnsi="Verdana"/>
                <w:sz w:val="24"/>
                <w:szCs w:val="24"/>
                <w:rtl w:val="0"/>
              </w:rPr>
              <w:t xml:space="preserve"> Yes</w:t>
            </w:r>
            <w:r w:rsidDel="00000000" w:rsidR="00000000" w:rsidRPr="00000000">
              <w:rPr>
                <w:rtl w:val="0"/>
              </w:rPr>
            </w:r>
          </w:p>
        </w:tc>
      </w:tr>
      <w:tr>
        <w:trPr>
          <w:cantSplit w:val="0"/>
          <w:trHeight w:val="936" w:hRule="atLeast"/>
          <w:tblHeader w:val="0"/>
        </w:trPr>
        <w:tc>
          <w:tcPr>
            <w:gridSpan w:val="2"/>
            <w:tcBorders>
              <w:top w:color="000000" w:space="0" w:sz="12" w:val="single"/>
              <w:left w:color="000000" w:space="0" w:sz="12" w:val="single"/>
              <w:bottom w:color="000000" w:space="0" w:sz="12" w:val="single"/>
              <w:right w:color="000000" w:space="0" w:sz="12" w:val="single"/>
            </w:tcBorders>
            <w:tcMar>
              <w:top w:w="105.0" w:type="dxa"/>
              <w:left w:w="105.0" w:type="dxa"/>
              <w:bottom w:w="105.0" w:type="dxa"/>
              <w:right w:w="105.0" w:type="dxa"/>
            </w:tcMar>
          </w:tcPr>
          <w:p w:rsidR="00000000" w:rsidDel="00000000" w:rsidP="00000000" w:rsidRDefault="00000000" w:rsidRPr="00000000" w14:paraId="0000005F">
            <w:pPr>
              <w:spacing w:after="120" w:before="60" w:line="240" w:lineRule="auto"/>
              <w:rPr>
                <w:rFonts w:ascii="Verdana" w:cs="Verdana" w:eastAsia="Verdana" w:hAnsi="Verdana"/>
                <w:b w:val="1"/>
                <w:bCs w:val="1"/>
                <w:color w:val="000000"/>
                <w:sz w:val="24"/>
                <w:szCs w:val="24"/>
              </w:rPr>
            </w:pPr>
            <w:r w:rsidDel="00000000" w:rsidR="00000000" w:rsidRPr="00000000">
              <w:rPr>
                <w:rFonts w:ascii="Verdana" w:cs="Verdana" w:eastAsia="Verdana" w:hAnsi="Verdana"/>
                <w:b w:val="1"/>
                <w:bCs w:val="1"/>
                <w:color w:val="000000"/>
                <w:sz w:val="24"/>
                <w:szCs w:val="24"/>
                <w:rtl w:val="0"/>
              </w:rPr>
              <w:t xml:space="preserve">Recommended for GCPD policy recommendations:   Yes  </w:t>
            </w:r>
            <w:r w:rsidDel="00000000" w:rsidR="00000000" w:rsidRPr="00000000">
              <w:rPr>
                <w:rFonts w:ascii="MS Gothic" w:cs="MS Gothic" w:eastAsia="MS Gothic" w:hAnsi="MS Gothic"/>
                <w:b w:val="1"/>
                <w:bCs w:val="1"/>
                <w:color w:val="000000"/>
                <w:sz w:val="24"/>
                <w:szCs w:val="24"/>
                <w:shd w:fill="e7e6e6" w:val="clear"/>
                <w:rtl w:val="0"/>
              </w:rPr>
              <w:t xml:space="preserve">☐</w:t>
            </w:r>
            <w:r w:rsidDel="00000000" w:rsidR="00000000" w:rsidRPr="00000000">
              <w:rPr>
                <w:rFonts w:ascii="Verdana" w:cs="Verdana" w:eastAsia="Verdana" w:hAnsi="Verdana"/>
                <w:b w:val="1"/>
                <w:bCs w:val="1"/>
                <w:color w:val="000000"/>
                <w:sz w:val="24"/>
                <w:szCs w:val="24"/>
                <w:rtl w:val="0"/>
              </w:rPr>
              <w:t xml:space="preserve">   No </w:t>
            </w:r>
            <w:r w:rsidDel="00000000" w:rsidR="00000000" w:rsidRPr="00000000">
              <w:rPr>
                <w:rFonts w:ascii="MS Gothic" w:cs="MS Gothic" w:eastAsia="MS Gothic" w:hAnsi="MS Gothic"/>
                <w:b w:val="1"/>
                <w:bCs w:val="1"/>
                <w:color w:val="000000"/>
                <w:sz w:val="24"/>
                <w:szCs w:val="24"/>
                <w:shd w:fill="e7e6e6" w:val="clear"/>
                <w:rtl w:val="0"/>
              </w:rPr>
              <w:t xml:space="preserve">☐</w:t>
            </w:r>
            <w:r w:rsidDel="00000000" w:rsidR="00000000" w:rsidRPr="00000000">
              <w:rPr>
                <w:rtl w:val="0"/>
              </w:rPr>
            </w:r>
          </w:p>
          <w:p w:rsidR="00000000" w:rsidDel="00000000" w:rsidP="00000000" w:rsidRDefault="00000000" w:rsidRPr="00000000" w14:paraId="00000060">
            <w:pPr>
              <w:spacing w:after="60" w:before="60" w:line="240" w:lineRule="auto"/>
              <w:rPr>
                <w:rFonts w:ascii="Verdana" w:cs="Verdana" w:eastAsia="Verdana" w:hAnsi="Verdana"/>
                <w:color w:val="000000"/>
              </w:rPr>
            </w:pPr>
            <w:r w:rsidDel="00000000" w:rsidR="00000000" w:rsidRPr="00000000">
              <w:rPr>
                <w:rFonts w:ascii="Verdana" w:cs="Verdana" w:eastAsia="Verdana" w:hAnsi="Verdana"/>
                <w:color w:val="000000"/>
                <w:rtl w:val="0"/>
              </w:rPr>
              <w:t xml:space="preserve">MOTION: </w:t>
            </w:r>
            <w:r w:rsidDel="00000000" w:rsidR="00000000" w:rsidRPr="00000000">
              <w:rPr>
                <w:rFonts w:ascii="Verdana" w:cs="Verdana" w:eastAsia="Verdana" w:hAnsi="Verdana"/>
                <w:color w:val="000000"/>
                <w:shd w:fill="e7e6e6" w:val="clear"/>
                <w:rtl w:val="0"/>
              </w:rPr>
              <w:t xml:space="preserve">GCPD staff use only</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63">
      <w:pPr>
        <w:spacing w:after="0" w:line="240" w:lineRule="auto"/>
        <w:rPr>
          <w:rFonts w:ascii="Verdana" w:cs="Verdana" w:eastAsia="Verdana" w:hAnsi="Verdana"/>
          <w:i w:val="1"/>
          <w:iCs w:val="1"/>
          <w:sz w:val="16"/>
          <w:szCs w:val="16"/>
        </w:rPr>
      </w:pPr>
      <w:r w:rsidDel="00000000" w:rsidR="00000000" w:rsidRPr="00000000">
        <w:rPr>
          <w:rtl w:val="0"/>
        </w:rPr>
      </w:r>
    </w:p>
    <w:sectPr>
      <w:footerReference r:id="rId11" w:type="default"/>
      <w:pgSz w:h="15840" w:w="12240" w:orient="portrait"/>
      <w:pgMar w:bottom="810" w:top="864"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Verdana"/>
  <w:font w:name="MS Gothic"/>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right" w:leader="none" w:pos="9900"/>
      </w:tabs>
      <w:spacing w:after="0" w:before="0" w:line="240" w:lineRule="auto"/>
      <w:ind w:left="0"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bCs w:val="0"/>
        <w:i w:val="1"/>
        <w:iCs w:val="1"/>
        <w:smallCaps w:val="0"/>
        <w:strike w:val="0"/>
        <w:color w:val="000000"/>
        <w:sz w:val="16"/>
        <w:szCs w:val="16"/>
        <w:u w:val="none"/>
        <w:shd w:fill="auto" w:val="clear"/>
        <w:vertAlign w:val="baseline"/>
        <w:rtl w:val="0"/>
      </w:rPr>
      <w:t xml:space="preserve">Form Revision Date: 08/28/23</w:t>
    </w:r>
    <w:r w:rsidDel="00000000" w:rsidR="00000000" w:rsidRPr="00000000">
      <w:rPr>
        <w:rFonts w:ascii="Verdana" w:cs="Verdana" w:eastAsia="Verdana" w:hAnsi="Verdana"/>
        <w:b w:val="0"/>
        <w:bCs w:val="0"/>
        <w:i w:val="0"/>
        <w:iCs w:val="0"/>
        <w:smallCaps w:val="0"/>
        <w:strike w:val="0"/>
        <w:color w:val="000000"/>
        <w:sz w:val="16"/>
        <w:szCs w:val="16"/>
        <w:u w:val="none"/>
        <w:shd w:fill="auto" w:val="clear"/>
        <w:vertAlign w:val="baseline"/>
        <w:rtl w:val="0"/>
      </w:rPr>
      <w:t xml:space="preserve"> </w:t>
      <w:tab/>
      <w:tab/>
      <w:t xml:space="preserve">Page </w:t>
    </w:r>
    <w:r w:rsidDel="00000000" w:rsidR="00000000" w:rsidRPr="00000000">
      <w:rPr>
        <w:rFonts w:ascii="Verdana" w:cs="Verdana" w:eastAsia="Verdana" w:hAnsi="Verdana"/>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Verdana" w:cs="Verdana" w:eastAsia="Verdana" w:hAnsi="Verdana"/>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Verdana" w:cs="Verdana" w:eastAsia="Verdana" w:hAnsi="Verdana"/>
        <w:b w:val="1"/>
        <w:bCs w:val="1"/>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United States Census Bureau. (2024). American Community Survey. Available from: </w:t>
      </w:r>
      <w:hyperlink r:id="rId1">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https://data.census.gov/table/ACSST5Y2024.S2502?q=S2502n</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Institute on Disability Rehabilitation Research and Training Center on Disability Statistics. (2025). Annual Disability Statistics Compendium. Available from: </w:t>
      </w:r>
      <w:hyperlink r:id="rId2">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https://www.researchondisability.org/sites/default/files/media/2025-03/pdf-online_full-compendium-with-title-acknowledgement-pages.pdf</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2">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Texas Energy Poverty Research Institute. (2019). Low-Income Community Profile Series. Available from: </w:t>
      </w:r>
      <w:hyperlink r:id="rId3">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https://tepri.org/wp-content/uploads/2019/06/TEPRI_LICPTexasOverview_June2019_v1.pdf</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3">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Center for Research on Disability. (2022). Table 7.7 Home Environment – Civilians with and without Disabilities Ages 18 to 64 Years Living in the Community in Houses for the United States. </w:t>
      </w:r>
      <w:hyperlink r:id="rId4">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https://www.researchondisability.org/annual-disability-statistics-collection/archive-annual-disability-statistics-collection/2024-compendium-table-contents/section-7-home-environments-compendium-2024</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4">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United States Census. (2026). 2024: ACS 1-Year Estimates Subject Tables: Texas Occupancy Characteristics. Available from: </w:t>
      </w:r>
      <w:hyperlink r:id="rId5">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https://data.census.gov/table?q=household+size&amp;t=Income+and+Poverty&amp;g=040XX00US48</w:t>
        </w:r>
      </w:hyperlink>
      <w:r w:rsidDel="00000000" w:rsidR="00000000" w:rsidRPr="00000000">
        <w:rPr>
          <w:rtl w:val="0"/>
        </w:rPr>
      </w:r>
    </w:p>
  </w:footnote>
  <w:footnote w:id="5">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U.S. Centers for Disease Control and Prevention. (2024). Disability Impacts All of Us Infographic. Developed by National Center on Birth Defects and Developmental Disabilities. Available from: </w:t>
      </w:r>
      <w:hyperlink r:id="rId6">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https://www.cdc.gov/disability-and-health/articles-documents/disability-impacts-all-of-us-infographic.html?CDC_AAref_Val=https://www.cdc.gov/ncbddd/disabilityandhealth/infographic-disability-impacts-all.html</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6">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Elevance Health. (2023). How Affordable and Attainable is Accessible Housing? Available from: </w:t>
      </w:r>
      <w:hyperlink r:id="rId7">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https://www.elevancehealth.com/our-approach-to-health/health-equity/how-affordable-and-attainable-is-accessible-housing</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Texas 2036. (2026). Understanding Texas: Population Growth. Available from: </w:t>
      </w:r>
      <w:hyperlink r:id="rId8">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https://texas2036.org/populationgrowth/</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8">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American Council on Aging. (2026). Nursing Home Costs by State and Region. Available from: </w:t>
      </w:r>
      <w:hyperlink r:id="rId9">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https://www.medicaidplanningassistance.org/nursing-home-costs/</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9">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LegalClarity Texas. (2026). Does Medicaid Pay for Nursing Homes in Texas? Available from: </w:t>
      </w:r>
      <w:hyperlink r:id="rId10">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https://legalclarity.org/does-medicaid-pay-for-nursing-home-in-texas/</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10">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Health and Human Services Commission. (2023). Cost Comparison Report. Available from: </w:t>
      </w:r>
      <w:hyperlink r:id="rId11">
        <w:r w:rsidDel="00000000" w:rsidR="00000000" w:rsidRPr="00000000">
          <w:rPr>
            <w:rFonts w:ascii="Calibri" w:cs="Calibri" w:eastAsia="Calibri" w:hAnsi="Calibri"/>
            <w:b w:val="0"/>
            <w:bCs w:val="0"/>
            <w:i w:val="0"/>
            <w:iCs w:val="0"/>
            <w:smallCaps w:val="0"/>
            <w:strike w:val="0"/>
            <w:color w:val="0000ff"/>
            <w:sz w:val="20"/>
            <w:szCs w:val="20"/>
            <w:u w:val="single"/>
            <w:shd w:fill="auto" w:val="clear"/>
            <w:vertAlign w:val="baseline"/>
            <w:rtl w:val="0"/>
          </w:rPr>
          <w:t xml:space="preserve">https://www.hhs.texas.gov/sites/default/files/documents/rider4-sb1-cost-comparison-report-aug-2024.pdf</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yperlink" Target="https://www.tdhca.texas.gov/htf-funding-sources-and-background" TargetMode="External"/><Relationship Id="rId9" Type="http://schemas.openxmlformats.org/officeDocument/2006/relationships/hyperlink" Target="https://www.tdhca.texas.gov/sites/default/files/SFHP-division/htf/docs/26-27-Plan-ONLY-amended-Sep-2025.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data.census.gov/table/ACSST5Y2024.S2502?q=S2502n" TargetMode="External"/><Relationship Id="rId2" Type="http://schemas.openxmlformats.org/officeDocument/2006/relationships/hyperlink" Target="https://www.researchondisability.org/sites/default/files/media/2025-03/pdf-online_full-compendium-with-title-acknowledgement-pages.pdf" TargetMode="External"/><Relationship Id="rId3" Type="http://schemas.openxmlformats.org/officeDocument/2006/relationships/hyperlink" Target="https://tepri.org/wp-content/uploads/2019/06/TEPRI_LICPTexasOverview_June2019_v1.pdf" TargetMode="External"/><Relationship Id="rId4" Type="http://schemas.openxmlformats.org/officeDocument/2006/relationships/hyperlink" Target="https://www.researchondisability.org/annual-disability-statistics-collection/archive-annual-disability-statistics-collection/2024-compendium-table-contents/section-7-home-environments-compendium-2024" TargetMode="External"/><Relationship Id="rId11" Type="http://schemas.openxmlformats.org/officeDocument/2006/relationships/hyperlink" Target="https://www.hhs.texas.gov/sites/default/files/documents/rider4-sb1-cost-comparison-report-aug-2024.pdf" TargetMode="External"/><Relationship Id="rId10" Type="http://schemas.openxmlformats.org/officeDocument/2006/relationships/hyperlink" Target="https://legalclarity.org/does-medicaid-pay-for-nursing-home-in-texas/" TargetMode="External"/><Relationship Id="rId9" Type="http://schemas.openxmlformats.org/officeDocument/2006/relationships/hyperlink" Target="https://www.medicaidplanningassistance.org/nursing-home-costs/" TargetMode="External"/><Relationship Id="rId5" Type="http://schemas.openxmlformats.org/officeDocument/2006/relationships/hyperlink" Target="https://data.census.gov/table?q=household+size&amp;t=Income+and+Poverty&amp;g=040XX00US48" TargetMode="External"/><Relationship Id="rId6" Type="http://schemas.openxmlformats.org/officeDocument/2006/relationships/hyperlink" Target="https://www.cdc.gov/disability-and-health/articles-documents/disability-impacts-all-of-us-infographic.html?CDC_AAref_Val=https://www.cdc.gov/ncbddd/disabilityandhealth/infographic-disability-impacts-all.html" TargetMode="External"/><Relationship Id="rId7" Type="http://schemas.openxmlformats.org/officeDocument/2006/relationships/hyperlink" Target="https://www.elevancehealth.com/our-approach-to-health/health-equity/how-affordable-and-attainable-is-accessible-housing" TargetMode="External"/><Relationship Id="rId8" Type="http://schemas.openxmlformats.org/officeDocument/2006/relationships/hyperlink" Target="https://texas2036.org/populationgrow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vohpmXZ0EbwwhODKqGA+fE9IWA==">CgMxLjA4AHIhMW5QWkVxZmNtZ2dXQ1ZBUnhpMlR1RVhtSmhMR3Q2MU1v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DocHome">
    <vt:lpwstr>2140281396</vt:lpwstr>
  </property>
  <property fmtid="{D5CDD505-2E9C-101B-9397-08002B2CF9AE}" pid="3" name="ContentTypeId">
    <vt:lpwstr>0x010100CA05204F49EE23438E1782DB0648EC4C</vt:lpwstr>
  </property>
</Properties>
</file>